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0C2" w:rsidR="00B60A7D" w:rsidP="00B60A7D" w:rsidRDefault="00B60A7D" w14:paraId="13FA3ABD" w14:textId="77777777">
      <w:pPr>
        <w:pStyle w:val="Texto"/>
        <w:spacing w:before="0" w:after="0" w:line="240" w:lineRule="auto"/>
        <w:jc w:val="center"/>
        <w:rPr>
          <w:b/>
          <w:bCs/>
          <w:szCs w:val="22"/>
        </w:rPr>
      </w:pPr>
      <w:r w:rsidRPr="007820C2">
        <w:rPr>
          <w:b/>
          <w:bCs/>
          <w:szCs w:val="22"/>
        </w:rPr>
        <w:t>Circular externa</w:t>
      </w:r>
    </w:p>
    <w:p w:rsidRPr="007820C2" w:rsidR="00B60A7D" w:rsidP="00B60A7D" w:rsidRDefault="00313AC6" w14:paraId="01AC2075" w14:textId="67A42906">
      <w:pPr>
        <w:pStyle w:val="Texto"/>
        <w:spacing w:before="0" w:after="0" w:line="240" w:lineRule="auto"/>
        <w:jc w:val="center"/>
        <w:rPr>
          <w:szCs w:val="22"/>
        </w:rPr>
      </w:pPr>
      <w:r>
        <w:rPr>
          <w:szCs w:val="22"/>
        </w:rPr>
        <w:t>07</w:t>
      </w:r>
      <w:r w:rsidR="00B60A7D">
        <w:rPr>
          <w:szCs w:val="22"/>
        </w:rPr>
        <w:t xml:space="preserve"> </w:t>
      </w:r>
      <w:r w:rsidRPr="007820C2" w:rsidR="00B60A7D">
        <w:rPr>
          <w:szCs w:val="22"/>
        </w:rPr>
        <w:t xml:space="preserve">de </w:t>
      </w:r>
      <w:r w:rsidR="00B60A7D">
        <w:rPr>
          <w:szCs w:val="22"/>
        </w:rPr>
        <w:t>agosto</w:t>
      </w:r>
      <w:r w:rsidRPr="007820C2" w:rsidR="00B60A7D">
        <w:rPr>
          <w:szCs w:val="22"/>
        </w:rPr>
        <w:t xml:space="preserve"> de 2023</w:t>
      </w:r>
    </w:p>
    <w:sdt>
      <w:sdtPr>
        <w:rPr>
          <w:szCs w:val="22"/>
        </w:rPr>
        <w:alias w:val="Consecutivo"/>
        <w:tag w:val="Consecutivo"/>
        <w:id w:val="2052717023"/>
        <w:placeholder>
          <w:docPart w:val="9D458E1A99EE4E03836818B549CD1FC3"/>
        </w:placeholder>
        <w:text/>
      </w:sdtPr>
      <w:sdtEndPr/>
      <w:sdtContent>
        <w:p w:rsidRPr="007820C2" w:rsidR="00B60A7D" w:rsidP="00B60A7D" w:rsidRDefault="00313AC6" w14:paraId="4365DA08" w14:textId="253685A7">
          <w:pPr>
            <w:tabs>
              <w:tab w:val="left" w:pos="2843"/>
            </w:tabs>
            <w:spacing w:line="240" w:lineRule="auto"/>
            <w:jc w:val="center"/>
            <w:rPr>
              <w:szCs w:val="22"/>
            </w:rPr>
          </w:pPr>
          <w:r>
            <w:t>SGF-1957-2023</w:t>
          </w:r>
        </w:p>
      </w:sdtContent>
    </w:sdt>
    <w:p w:rsidRPr="007820C2" w:rsidR="00B60A7D" w:rsidP="00B60A7D" w:rsidRDefault="00313AC6" w14:paraId="356A4139" w14:textId="77777777">
      <w:pPr>
        <w:tabs>
          <w:tab w:val="left" w:pos="2843"/>
        </w:tabs>
        <w:spacing w:line="240" w:lineRule="auto"/>
        <w:jc w:val="center"/>
        <w:rPr>
          <w:szCs w:val="22"/>
        </w:rPr>
      </w:pPr>
      <w:sdt>
        <w:sdtPr>
          <w:rPr>
            <w:szCs w:val="22"/>
          </w:rPr>
          <w:alias w:val="Confidencialidad"/>
          <w:tag w:val="Confidencialidad"/>
          <w:id w:val="1447896894"/>
          <w:placeholder>
            <w:docPart w:val="C5AE0905C37348E7826931C0555D60B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820C2" w:rsidR="00B60A7D">
            <w:rPr>
              <w:szCs w:val="22"/>
            </w:rPr>
            <w:t>SGF-PUBLICO</w:t>
          </w:r>
        </w:sdtContent>
      </w:sdt>
    </w:p>
    <w:p w:rsidRPr="007820C2" w:rsidR="00B60A7D" w:rsidP="00B60A7D" w:rsidRDefault="00B60A7D" w14:paraId="4854E9CB" w14:textId="77777777">
      <w:pPr>
        <w:tabs>
          <w:tab w:val="left" w:pos="2843"/>
        </w:tabs>
        <w:spacing w:line="240" w:lineRule="auto"/>
        <w:rPr>
          <w:szCs w:val="22"/>
        </w:rPr>
      </w:pPr>
      <w:r w:rsidRPr="007820C2">
        <w:rPr>
          <w:szCs w:val="22"/>
        </w:rPr>
        <w:tab/>
      </w:r>
    </w:p>
    <w:p w:rsidRPr="00153958" w:rsidR="00B60A7D" w:rsidP="00B60A7D" w:rsidRDefault="00B60A7D" w14:paraId="7C99F286" w14:textId="77777777">
      <w:pPr>
        <w:ind w:left="34" w:right="86"/>
        <w:contextualSpacing/>
        <w:rPr>
          <w:b/>
          <w:bCs/>
          <w:szCs w:val="22"/>
        </w:rPr>
      </w:pPr>
      <w:r w:rsidRPr="00153958">
        <w:rPr>
          <w:b/>
          <w:bCs/>
          <w:szCs w:val="22"/>
        </w:rPr>
        <w:t xml:space="preserve">Dirigida a: </w:t>
      </w:r>
    </w:p>
    <w:p w:rsidRPr="00153958" w:rsidR="00B60A7D" w:rsidP="00B60A7D" w:rsidRDefault="00B60A7D" w14:paraId="38FA0075" w14:textId="77777777">
      <w:pPr>
        <w:ind w:left="34" w:right="86"/>
        <w:contextualSpacing/>
        <w:rPr>
          <w:b/>
          <w:bCs/>
          <w:szCs w:val="22"/>
        </w:rPr>
      </w:pPr>
    </w:p>
    <w:p w:rsidRPr="00153958" w:rsidR="00B60A7D" w:rsidP="00B60A7D" w:rsidRDefault="00B60A7D" w14:paraId="69F0530E" w14:textId="77777777">
      <w:pPr>
        <w:numPr>
          <w:ilvl w:val="0"/>
          <w:numId w:val="3"/>
        </w:numPr>
        <w:spacing w:line="240" w:lineRule="auto"/>
        <w:ind w:left="567" w:right="86" w:hanging="567"/>
        <w:contextualSpacing/>
        <w:rPr>
          <w:b/>
          <w:bCs/>
          <w:szCs w:val="22"/>
          <w:lang w:eastAsia="es-ES"/>
        </w:rPr>
      </w:pPr>
      <w:r w:rsidRPr="00153958">
        <w:rPr>
          <w:b/>
          <w:bCs/>
          <w:szCs w:val="22"/>
          <w:lang w:eastAsia="es-ES"/>
        </w:rPr>
        <w:t xml:space="preserve">Bancos </w:t>
      </w:r>
      <w:r w:rsidRPr="007820C2">
        <w:rPr>
          <w:b/>
          <w:bCs/>
          <w:szCs w:val="22"/>
          <w:lang w:eastAsia="es-ES"/>
        </w:rPr>
        <w:t>c</w:t>
      </w:r>
      <w:r w:rsidRPr="00153958">
        <w:rPr>
          <w:b/>
          <w:bCs/>
          <w:szCs w:val="22"/>
          <w:lang w:eastAsia="es-ES"/>
        </w:rPr>
        <w:t>omerciales del Estado</w:t>
      </w:r>
    </w:p>
    <w:p w:rsidRPr="00153958" w:rsidR="00B60A7D" w:rsidP="00B60A7D" w:rsidRDefault="00B60A7D" w14:paraId="43AF3606" w14:textId="77777777">
      <w:pPr>
        <w:numPr>
          <w:ilvl w:val="0"/>
          <w:numId w:val="3"/>
        </w:numPr>
        <w:spacing w:line="240" w:lineRule="auto"/>
        <w:ind w:left="567" w:right="86" w:hanging="567"/>
        <w:contextualSpacing/>
        <w:rPr>
          <w:b/>
          <w:bCs/>
          <w:szCs w:val="22"/>
          <w:lang w:eastAsia="es-ES"/>
        </w:rPr>
      </w:pPr>
      <w:r w:rsidRPr="00153958">
        <w:rPr>
          <w:b/>
          <w:bCs/>
          <w:szCs w:val="22"/>
          <w:lang w:eastAsia="es-ES"/>
        </w:rPr>
        <w:t xml:space="preserve">Bancos Creados por </w:t>
      </w:r>
      <w:r w:rsidRPr="007820C2">
        <w:rPr>
          <w:b/>
          <w:bCs/>
          <w:szCs w:val="22"/>
          <w:lang w:eastAsia="es-ES"/>
        </w:rPr>
        <w:t>l</w:t>
      </w:r>
      <w:r w:rsidRPr="00153958">
        <w:rPr>
          <w:b/>
          <w:bCs/>
          <w:szCs w:val="22"/>
          <w:lang w:eastAsia="es-ES"/>
        </w:rPr>
        <w:t xml:space="preserve">eyes </w:t>
      </w:r>
      <w:r w:rsidRPr="007820C2">
        <w:rPr>
          <w:b/>
          <w:bCs/>
          <w:szCs w:val="22"/>
          <w:lang w:eastAsia="es-ES"/>
        </w:rPr>
        <w:t>e</w:t>
      </w:r>
      <w:r w:rsidRPr="00153958">
        <w:rPr>
          <w:b/>
          <w:bCs/>
          <w:szCs w:val="22"/>
          <w:lang w:eastAsia="es-ES"/>
        </w:rPr>
        <w:t>speciales</w:t>
      </w:r>
    </w:p>
    <w:p w:rsidRPr="00153958" w:rsidR="00B60A7D" w:rsidP="00B60A7D" w:rsidRDefault="00B60A7D" w14:paraId="33B85A46" w14:textId="77777777">
      <w:pPr>
        <w:numPr>
          <w:ilvl w:val="0"/>
          <w:numId w:val="3"/>
        </w:numPr>
        <w:spacing w:line="240" w:lineRule="auto"/>
        <w:ind w:left="567" w:right="86" w:hanging="567"/>
        <w:contextualSpacing/>
        <w:rPr>
          <w:b/>
          <w:bCs/>
          <w:szCs w:val="22"/>
          <w:lang w:eastAsia="es-ES"/>
        </w:rPr>
      </w:pPr>
      <w:r w:rsidRPr="00153958">
        <w:rPr>
          <w:b/>
          <w:bCs/>
          <w:szCs w:val="22"/>
          <w:lang w:eastAsia="es-ES"/>
        </w:rPr>
        <w:t xml:space="preserve">Bancos </w:t>
      </w:r>
      <w:r w:rsidRPr="007820C2">
        <w:rPr>
          <w:b/>
          <w:bCs/>
          <w:szCs w:val="22"/>
          <w:lang w:eastAsia="es-ES"/>
        </w:rPr>
        <w:t>p</w:t>
      </w:r>
      <w:r w:rsidRPr="00153958">
        <w:rPr>
          <w:b/>
          <w:bCs/>
          <w:szCs w:val="22"/>
          <w:lang w:eastAsia="es-ES"/>
        </w:rPr>
        <w:t>rivados</w:t>
      </w:r>
    </w:p>
    <w:p w:rsidRPr="00153958" w:rsidR="00B60A7D" w:rsidP="00B60A7D" w:rsidRDefault="00B60A7D" w14:paraId="426BFDF4" w14:textId="77777777">
      <w:pPr>
        <w:numPr>
          <w:ilvl w:val="0"/>
          <w:numId w:val="3"/>
        </w:numPr>
        <w:spacing w:line="240" w:lineRule="auto"/>
        <w:ind w:left="567" w:right="86" w:hanging="567"/>
        <w:contextualSpacing/>
        <w:rPr>
          <w:b/>
          <w:bCs/>
          <w:szCs w:val="22"/>
          <w:lang w:eastAsia="es-ES"/>
        </w:rPr>
      </w:pPr>
      <w:r w:rsidRPr="00153958">
        <w:rPr>
          <w:b/>
          <w:bCs/>
          <w:szCs w:val="22"/>
          <w:lang w:eastAsia="es-ES"/>
        </w:rPr>
        <w:t xml:space="preserve">Empresas </w:t>
      </w:r>
      <w:r w:rsidRPr="007820C2">
        <w:rPr>
          <w:b/>
          <w:bCs/>
          <w:szCs w:val="22"/>
          <w:lang w:eastAsia="es-ES"/>
        </w:rPr>
        <w:t>f</w:t>
      </w:r>
      <w:r w:rsidRPr="00153958">
        <w:rPr>
          <w:b/>
          <w:bCs/>
          <w:szCs w:val="22"/>
          <w:lang w:eastAsia="es-ES"/>
        </w:rPr>
        <w:t xml:space="preserve">inancieras no </w:t>
      </w:r>
      <w:r w:rsidRPr="007820C2">
        <w:rPr>
          <w:b/>
          <w:bCs/>
          <w:szCs w:val="22"/>
          <w:lang w:eastAsia="es-ES"/>
        </w:rPr>
        <w:t>b</w:t>
      </w:r>
      <w:r w:rsidRPr="00153958">
        <w:rPr>
          <w:b/>
          <w:bCs/>
          <w:szCs w:val="22"/>
          <w:lang w:eastAsia="es-ES"/>
        </w:rPr>
        <w:t>ancarias</w:t>
      </w:r>
    </w:p>
    <w:p w:rsidRPr="00153958" w:rsidR="00B60A7D" w:rsidP="00B60A7D" w:rsidRDefault="00B60A7D" w14:paraId="43FA6144" w14:textId="77777777">
      <w:pPr>
        <w:numPr>
          <w:ilvl w:val="0"/>
          <w:numId w:val="3"/>
        </w:numPr>
        <w:spacing w:line="240" w:lineRule="auto"/>
        <w:ind w:left="567" w:right="86" w:hanging="567"/>
        <w:contextualSpacing/>
        <w:rPr>
          <w:b/>
          <w:bCs/>
          <w:szCs w:val="22"/>
          <w:lang w:eastAsia="es-ES"/>
        </w:rPr>
      </w:pPr>
      <w:r w:rsidRPr="00153958">
        <w:rPr>
          <w:b/>
          <w:bCs/>
          <w:szCs w:val="22"/>
          <w:lang w:eastAsia="es-ES"/>
        </w:rPr>
        <w:t xml:space="preserve">Organizaciones </w:t>
      </w:r>
      <w:r w:rsidRPr="007820C2">
        <w:rPr>
          <w:b/>
          <w:bCs/>
          <w:szCs w:val="22"/>
          <w:lang w:eastAsia="es-ES"/>
        </w:rPr>
        <w:t>c</w:t>
      </w:r>
      <w:r w:rsidRPr="00153958">
        <w:rPr>
          <w:b/>
          <w:bCs/>
          <w:szCs w:val="22"/>
          <w:lang w:eastAsia="es-ES"/>
        </w:rPr>
        <w:t xml:space="preserve">ooperativas de </w:t>
      </w:r>
      <w:r w:rsidRPr="007820C2">
        <w:rPr>
          <w:b/>
          <w:bCs/>
          <w:szCs w:val="22"/>
          <w:lang w:eastAsia="es-ES"/>
        </w:rPr>
        <w:t>a</w:t>
      </w:r>
      <w:r w:rsidRPr="00153958">
        <w:rPr>
          <w:b/>
          <w:bCs/>
          <w:szCs w:val="22"/>
          <w:lang w:eastAsia="es-ES"/>
        </w:rPr>
        <w:t xml:space="preserve">horro y </w:t>
      </w:r>
      <w:r w:rsidRPr="007820C2">
        <w:rPr>
          <w:b/>
          <w:bCs/>
          <w:szCs w:val="22"/>
          <w:lang w:eastAsia="es-ES"/>
        </w:rPr>
        <w:t>c</w:t>
      </w:r>
      <w:r w:rsidRPr="00153958">
        <w:rPr>
          <w:b/>
          <w:bCs/>
          <w:szCs w:val="22"/>
          <w:lang w:eastAsia="es-ES"/>
        </w:rPr>
        <w:t>rédito</w:t>
      </w:r>
    </w:p>
    <w:p w:rsidRPr="00153958" w:rsidR="00B60A7D" w:rsidP="00B60A7D" w:rsidRDefault="00B60A7D" w14:paraId="77724F8E" w14:textId="77777777">
      <w:pPr>
        <w:numPr>
          <w:ilvl w:val="0"/>
          <w:numId w:val="3"/>
        </w:numPr>
        <w:spacing w:line="240" w:lineRule="auto"/>
        <w:ind w:left="567" w:right="86" w:hanging="567"/>
        <w:contextualSpacing/>
        <w:rPr>
          <w:b/>
          <w:bCs/>
          <w:szCs w:val="22"/>
          <w:lang w:eastAsia="es-ES"/>
        </w:rPr>
      </w:pPr>
      <w:r w:rsidRPr="00153958">
        <w:rPr>
          <w:b/>
          <w:bCs/>
          <w:szCs w:val="22"/>
          <w:lang w:eastAsia="es-ES"/>
        </w:rPr>
        <w:t xml:space="preserve">Entidades </w:t>
      </w:r>
      <w:r w:rsidRPr="007820C2">
        <w:rPr>
          <w:b/>
          <w:bCs/>
          <w:szCs w:val="22"/>
          <w:lang w:eastAsia="es-ES"/>
        </w:rPr>
        <w:t>a</w:t>
      </w:r>
      <w:r w:rsidRPr="00153958">
        <w:rPr>
          <w:b/>
          <w:bCs/>
          <w:szCs w:val="22"/>
          <w:lang w:eastAsia="es-ES"/>
        </w:rPr>
        <w:t>utorizadas del Sistema Financier</w:t>
      </w:r>
      <w:r w:rsidRPr="007820C2">
        <w:rPr>
          <w:b/>
          <w:bCs/>
          <w:szCs w:val="22"/>
          <w:lang w:eastAsia="es-ES"/>
        </w:rPr>
        <w:t>o</w:t>
      </w:r>
      <w:r w:rsidRPr="00153958">
        <w:rPr>
          <w:b/>
          <w:bCs/>
          <w:szCs w:val="22"/>
          <w:lang w:eastAsia="es-ES"/>
        </w:rPr>
        <w:t xml:space="preserve"> Nacional para la Vivienda</w:t>
      </w:r>
    </w:p>
    <w:p w:rsidRPr="00153958" w:rsidR="00B60A7D" w:rsidP="00B60A7D" w:rsidRDefault="00B60A7D" w14:paraId="77630354" w14:textId="77777777">
      <w:pPr>
        <w:numPr>
          <w:ilvl w:val="0"/>
          <w:numId w:val="3"/>
        </w:numPr>
        <w:spacing w:line="240" w:lineRule="auto"/>
        <w:ind w:left="567" w:right="86" w:hanging="567"/>
        <w:contextualSpacing/>
        <w:rPr>
          <w:b/>
          <w:bCs/>
          <w:szCs w:val="22"/>
          <w:lang w:eastAsia="es-ES"/>
        </w:rPr>
      </w:pPr>
      <w:r w:rsidRPr="00153958">
        <w:rPr>
          <w:b/>
          <w:bCs/>
          <w:szCs w:val="22"/>
          <w:lang w:eastAsia="es-ES"/>
        </w:rPr>
        <w:t xml:space="preserve">Otras </w:t>
      </w:r>
      <w:r w:rsidRPr="007820C2">
        <w:rPr>
          <w:b/>
          <w:bCs/>
          <w:szCs w:val="22"/>
          <w:lang w:eastAsia="es-ES"/>
        </w:rPr>
        <w:t>e</w:t>
      </w:r>
      <w:r w:rsidRPr="00153958">
        <w:rPr>
          <w:b/>
          <w:bCs/>
          <w:szCs w:val="22"/>
          <w:lang w:eastAsia="es-ES"/>
        </w:rPr>
        <w:t xml:space="preserve">ntidades </w:t>
      </w:r>
      <w:r w:rsidRPr="007820C2">
        <w:rPr>
          <w:b/>
          <w:bCs/>
          <w:szCs w:val="22"/>
          <w:lang w:eastAsia="es-ES"/>
        </w:rPr>
        <w:t>f</w:t>
      </w:r>
      <w:r w:rsidRPr="00153958">
        <w:rPr>
          <w:b/>
          <w:bCs/>
          <w:szCs w:val="22"/>
          <w:lang w:eastAsia="es-ES"/>
        </w:rPr>
        <w:t>inancieras</w:t>
      </w:r>
    </w:p>
    <w:p w:rsidRPr="00153958" w:rsidR="00B60A7D" w:rsidP="00B60A7D" w:rsidRDefault="00B60A7D" w14:paraId="2C839A63" w14:textId="77777777">
      <w:pPr>
        <w:spacing w:line="240" w:lineRule="auto"/>
        <w:ind w:right="86"/>
        <w:contextualSpacing/>
        <w:rPr>
          <w:b/>
          <w:bCs/>
          <w:szCs w:val="22"/>
          <w:lang w:eastAsia="es-ES"/>
        </w:rPr>
      </w:pPr>
    </w:p>
    <w:p w:rsidRPr="00153958" w:rsidR="00B60A7D" w:rsidP="00B60A7D" w:rsidRDefault="00B60A7D" w14:paraId="4FC69EF5" w14:textId="77777777">
      <w:pPr>
        <w:spacing w:line="240" w:lineRule="auto"/>
        <w:ind w:right="86"/>
        <w:contextualSpacing/>
        <w:rPr>
          <w:b/>
          <w:bCs/>
          <w:szCs w:val="22"/>
          <w:lang w:eastAsia="es-ES"/>
        </w:rPr>
      </w:pPr>
    </w:p>
    <w:p w:rsidRPr="00153958" w:rsidR="00B60A7D" w:rsidP="00B60A7D" w:rsidRDefault="00B60A7D" w14:paraId="11CCF26D" w14:textId="77777777">
      <w:pPr>
        <w:autoSpaceDE w:val="0"/>
        <w:autoSpaceDN w:val="0"/>
        <w:adjustRightInd w:val="0"/>
        <w:spacing w:line="240" w:lineRule="auto"/>
        <w:ind w:left="851" w:hanging="851"/>
        <w:rPr>
          <w:bCs/>
          <w:szCs w:val="22"/>
          <w:lang w:val="es-CR"/>
        </w:rPr>
      </w:pPr>
      <w:r w:rsidRPr="00153958">
        <w:rPr>
          <w:b/>
          <w:szCs w:val="22"/>
          <w:lang w:val="es-CR"/>
        </w:rPr>
        <w:t xml:space="preserve">Asunto: </w:t>
      </w:r>
      <w:r w:rsidRPr="00153958">
        <w:rPr>
          <w:bCs/>
          <w:szCs w:val="22"/>
          <w:lang w:val="es-CR"/>
        </w:rPr>
        <w:t xml:space="preserve">Requerimiento del campo </w:t>
      </w:r>
      <w:r>
        <w:rPr>
          <w:bCs/>
          <w:szCs w:val="22"/>
          <w:lang w:val="es-CR"/>
        </w:rPr>
        <w:t>“</w:t>
      </w:r>
      <w:r w:rsidRPr="00B26C1F">
        <w:rPr>
          <w:bCs/>
          <w:szCs w:val="22"/>
          <w:lang w:val="es-CR"/>
        </w:rPr>
        <w:t>CantidadIncidentes</w:t>
      </w:r>
      <w:r>
        <w:rPr>
          <w:bCs/>
          <w:szCs w:val="22"/>
          <w:lang w:val="es-CR"/>
        </w:rPr>
        <w:t>”</w:t>
      </w:r>
      <w:r w:rsidRPr="00153958">
        <w:rPr>
          <w:bCs/>
          <w:szCs w:val="22"/>
          <w:lang w:val="es-CR"/>
        </w:rPr>
        <w:t xml:space="preserve"> a partir de la información que se reciba a través de SICVECA </w:t>
      </w:r>
      <w:r>
        <w:rPr>
          <w:bCs/>
          <w:szCs w:val="22"/>
          <w:lang w:val="es-CR"/>
        </w:rPr>
        <w:t xml:space="preserve">Riesgo Operativo </w:t>
      </w:r>
      <w:r w:rsidRPr="00153958">
        <w:rPr>
          <w:bCs/>
          <w:szCs w:val="22"/>
          <w:lang w:val="es-CR"/>
        </w:rPr>
        <w:t xml:space="preserve">con fecha corte </w:t>
      </w:r>
      <w:r>
        <w:rPr>
          <w:bCs/>
          <w:szCs w:val="22"/>
          <w:lang w:val="es-CR"/>
        </w:rPr>
        <w:t>setiembre</w:t>
      </w:r>
      <w:r w:rsidRPr="00153958">
        <w:rPr>
          <w:bCs/>
          <w:szCs w:val="22"/>
          <w:lang w:val="es-CR"/>
        </w:rPr>
        <w:t xml:space="preserve"> 2023 inclusive</w:t>
      </w:r>
      <w:r>
        <w:rPr>
          <w:bCs/>
          <w:szCs w:val="22"/>
          <w:lang w:val="es-CR"/>
        </w:rPr>
        <w:t xml:space="preserve">. </w:t>
      </w:r>
      <w:r w:rsidRPr="00153958">
        <w:rPr>
          <w:bCs/>
          <w:szCs w:val="22"/>
          <w:lang w:val="es-CR"/>
        </w:rPr>
        <w:t xml:space="preserve"> </w:t>
      </w:r>
    </w:p>
    <w:p w:rsidRPr="00153958" w:rsidR="00B60A7D" w:rsidP="00B60A7D" w:rsidRDefault="00B60A7D" w14:paraId="7E7CF5C4" w14:textId="77777777">
      <w:pPr>
        <w:spacing w:line="240" w:lineRule="auto"/>
        <w:ind w:left="851" w:hanging="851"/>
        <w:contextualSpacing/>
        <w:rPr>
          <w:bCs/>
          <w:szCs w:val="22"/>
          <w:lang w:val="es-CR"/>
        </w:rPr>
      </w:pPr>
    </w:p>
    <w:p w:rsidRPr="00153958" w:rsidR="00B60A7D" w:rsidP="00B60A7D" w:rsidRDefault="00B60A7D" w14:paraId="1AED6CEC" w14:textId="77777777">
      <w:pPr>
        <w:spacing w:line="240" w:lineRule="auto"/>
        <w:contextualSpacing/>
        <w:rPr>
          <w:rFonts w:cs="Calibri" w:eastAsiaTheme="minorHAnsi"/>
          <w:szCs w:val="22"/>
          <w:lang w:val="es-CR" w:eastAsia="es-CR"/>
        </w:rPr>
      </w:pPr>
    </w:p>
    <w:p w:rsidRPr="00153958" w:rsidR="00B60A7D" w:rsidP="00B60A7D" w:rsidRDefault="00B60A7D" w14:paraId="21785202" w14:textId="77777777">
      <w:pPr>
        <w:spacing w:line="240" w:lineRule="auto"/>
        <w:contextualSpacing/>
        <w:rPr>
          <w:rFonts w:cs="Calibri" w:eastAsiaTheme="minorHAnsi"/>
          <w:b/>
          <w:bCs/>
          <w:szCs w:val="22"/>
          <w:lang w:eastAsia="es-CR"/>
        </w:rPr>
      </w:pPr>
      <w:r w:rsidRPr="00153958">
        <w:rPr>
          <w:rFonts w:cs="Calibri" w:eastAsiaTheme="minorHAnsi"/>
          <w:b/>
          <w:bCs/>
          <w:szCs w:val="22"/>
          <w:lang w:eastAsia="es-CR"/>
        </w:rPr>
        <w:t>La Superintendencia General de Entidades Financieras</w:t>
      </w:r>
      <w:r w:rsidRPr="007820C2">
        <w:rPr>
          <w:rFonts w:cs="Calibri" w:eastAsiaTheme="minorHAnsi"/>
          <w:b/>
          <w:bCs/>
          <w:szCs w:val="22"/>
          <w:lang w:eastAsia="es-CR"/>
        </w:rPr>
        <w:t>:</w:t>
      </w:r>
    </w:p>
    <w:p w:rsidRPr="00153958" w:rsidR="00B60A7D" w:rsidP="00B60A7D" w:rsidRDefault="00B60A7D" w14:paraId="1FEEDA04" w14:textId="77777777">
      <w:pPr>
        <w:spacing w:line="240" w:lineRule="auto"/>
        <w:contextualSpacing/>
        <w:rPr>
          <w:rFonts w:cs="Calibri" w:eastAsiaTheme="minorHAnsi"/>
          <w:szCs w:val="22"/>
          <w:lang w:eastAsia="es-CR"/>
        </w:rPr>
      </w:pPr>
    </w:p>
    <w:p w:rsidRPr="00153958" w:rsidR="00B60A7D" w:rsidP="00B60A7D" w:rsidRDefault="00B60A7D" w14:paraId="292E8347" w14:textId="77777777">
      <w:pPr>
        <w:spacing w:after="120"/>
        <w:ind w:left="33"/>
        <w:contextualSpacing/>
        <w:rPr>
          <w:szCs w:val="22"/>
          <w:lang w:val="es-CR"/>
        </w:rPr>
      </w:pPr>
      <w:r w:rsidRPr="00153958">
        <w:rPr>
          <w:szCs w:val="22"/>
        </w:rPr>
        <w:t>Considerando</w:t>
      </w:r>
      <w:r w:rsidRPr="007820C2">
        <w:rPr>
          <w:szCs w:val="22"/>
        </w:rPr>
        <w:t xml:space="preserve"> que</w:t>
      </w:r>
      <w:r w:rsidRPr="00153958">
        <w:rPr>
          <w:szCs w:val="22"/>
        </w:rPr>
        <w:t>:</w:t>
      </w:r>
    </w:p>
    <w:p w:rsidRPr="00153958" w:rsidR="00B60A7D" w:rsidP="00B60A7D" w:rsidRDefault="00B60A7D" w14:paraId="786EFAA1" w14:textId="77777777">
      <w:pPr>
        <w:spacing w:before="120"/>
        <w:ind w:left="33"/>
        <w:contextualSpacing/>
        <w:rPr>
          <w:rFonts w:ascii="Calibri" w:hAnsi="Calibri"/>
          <w:szCs w:val="22"/>
        </w:rPr>
      </w:pPr>
    </w:p>
    <w:p w:rsidRPr="00AA61EF" w:rsidR="00B60A7D" w:rsidP="00B60A7D" w:rsidRDefault="00B60A7D" w14:paraId="5491E966" w14:textId="77777777">
      <w:pPr>
        <w:pStyle w:val="Prrafodelista"/>
        <w:numPr>
          <w:ilvl w:val="0"/>
          <w:numId w:val="4"/>
        </w:numPr>
        <w:rPr>
          <w:rFonts w:eastAsiaTheme="minorHAnsi" w:cstheme="minorBidi"/>
          <w:szCs w:val="22"/>
          <w:lang w:val="es-CR"/>
        </w:rPr>
      </w:pPr>
      <w:r>
        <w:t>De conformidad con el inciso c) del artículo 131 de la Ley Orgánica del Banco Central de Costa Rica, Ley 7558, es función del Superintendente General de Entidades Financieras proponer al Consejo Nacional de Supervisión del Sistema Financiero, en adelante referido como CONASSIF, para su aprobación las normas que estime necesarias para el desarrollo de las labores de supervisión y fiscalización. En particular el inciso n) del mismo artículo, en su numeral iii), dispone que le corresponde proponer normas sobre mejores prácticas para gestionar los diferentes riesgos asociados a la operación de las entidades supervisadas.</w:t>
      </w:r>
    </w:p>
    <w:p w:rsidR="00B60A7D" w:rsidP="00B60A7D" w:rsidRDefault="00B60A7D" w14:paraId="7CB3D215" w14:textId="77777777">
      <w:pPr>
        <w:rPr>
          <w:rFonts w:eastAsiaTheme="minorHAnsi" w:cstheme="minorBidi"/>
          <w:szCs w:val="22"/>
          <w:lang w:val="es-CR"/>
        </w:rPr>
      </w:pPr>
    </w:p>
    <w:p w:rsidRPr="00AA61EF" w:rsidR="00B60A7D" w:rsidP="00B60A7D" w:rsidRDefault="00B60A7D" w14:paraId="198F5C47" w14:textId="77777777">
      <w:pPr>
        <w:pStyle w:val="Prrafodelista"/>
        <w:numPr>
          <w:ilvl w:val="0"/>
          <w:numId w:val="4"/>
        </w:numPr>
        <w:rPr>
          <w:rFonts w:eastAsiaTheme="minorHAnsi" w:cstheme="minorBidi"/>
          <w:szCs w:val="22"/>
          <w:lang w:val="es-CR"/>
        </w:rPr>
      </w:pPr>
      <w:r>
        <w:t>El Pilar 2 del documento sobre Convergencia internacional de medidas y normas de capital: marco revisado (Basilea II) y las recomendaciones del Comité de Basilea, contenidas en los “Principios Básicos para una Supervisión Bancaria Eficaz” (setiembre 2012), señalan los principios a seguir para la mejora y fortalecimiento de las prácticas de regulación y supervisión. El principio 25 indica que los supervisores deben determinar que las entidades cuentan con un marco adecuado de gestión del riesgo operativo que considere su apetito por el riesgo, su perfil de riesgo y la situación macroeconómica y de los mercados. Este marco incluye políticas y procesos prudentes Página 16 de 142 Acuerdo Sugef 2-10 Uso Interno para identificar, cuantificar, evaluar, vigilar, informar y controlar o mitigar el riesgo operativo en el momento oportuno.</w:t>
      </w:r>
    </w:p>
    <w:p w:rsidRPr="00AA61EF" w:rsidR="00B60A7D" w:rsidP="00B60A7D" w:rsidRDefault="00B60A7D" w14:paraId="2BD3D1F5" w14:textId="77777777">
      <w:pPr>
        <w:pStyle w:val="Prrafodelista"/>
        <w:rPr>
          <w:rFonts w:eastAsiaTheme="minorHAnsi" w:cstheme="minorBidi"/>
          <w:szCs w:val="22"/>
          <w:lang w:val="es-CR"/>
        </w:rPr>
      </w:pPr>
    </w:p>
    <w:p w:rsidRPr="00AA61EF" w:rsidR="00B60A7D" w:rsidP="00B60A7D" w:rsidRDefault="00B60A7D" w14:paraId="782A6663" w14:textId="77777777">
      <w:pPr>
        <w:pStyle w:val="Prrafodelista"/>
        <w:numPr>
          <w:ilvl w:val="0"/>
          <w:numId w:val="4"/>
        </w:numPr>
        <w:rPr>
          <w:rFonts w:eastAsiaTheme="minorHAnsi" w:cstheme="minorBidi"/>
          <w:szCs w:val="22"/>
          <w:lang w:val="es-CR"/>
        </w:rPr>
      </w:pPr>
      <w:r>
        <w:t xml:space="preserve">La emisión del reglamento 2-10 propicia la creación de bases de datos sobre incidencias y eventos potenciales de riesgo operativo que permitan a las entidades, cuyo perfil de riesgo así lo amerite, evolucionar desde metodologías para valoración del riesgo operativo relativamente simples a otras más sofisticadas. Asimismo, establece requerimientos </w:t>
      </w:r>
      <w:r>
        <w:lastRenderedPageBreak/>
        <w:t>respecto a continuidad del negocio, procesos de tercerización y seguridad de la información que son aspectos inherentes a la gestión de riesgo operativo.</w:t>
      </w:r>
    </w:p>
    <w:p w:rsidRPr="00AA61EF" w:rsidR="00B60A7D" w:rsidP="00B60A7D" w:rsidRDefault="00B60A7D" w14:paraId="0DA6E19F" w14:textId="77777777">
      <w:pPr>
        <w:pStyle w:val="Prrafodelista"/>
        <w:rPr>
          <w:rFonts w:eastAsiaTheme="minorHAnsi" w:cstheme="minorBidi"/>
          <w:szCs w:val="22"/>
          <w:lang w:val="es-CR"/>
        </w:rPr>
      </w:pPr>
    </w:p>
    <w:p w:rsidR="00B60A7D" w:rsidP="00B60A7D" w:rsidRDefault="00B60A7D" w14:paraId="562A5BC4" w14:textId="77777777">
      <w:pPr>
        <w:pStyle w:val="Prrafodelista"/>
        <w:numPr>
          <w:ilvl w:val="0"/>
          <w:numId w:val="4"/>
        </w:numPr>
        <w:rPr>
          <w:rFonts w:eastAsiaTheme="minorHAnsi" w:cstheme="minorBidi"/>
          <w:szCs w:val="22"/>
          <w:lang w:val="es-CR"/>
        </w:rPr>
      </w:pPr>
      <w:r>
        <w:rPr>
          <w:rFonts w:eastAsiaTheme="minorHAnsi" w:cstheme="minorBidi"/>
          <w:szCs w:val="22"/>
          <w:lang w:val="es-CR"/>
        </w:rPr>
        <w:t xml:space="preserve">De acuerdo con los </w:t>
      </w:r>
      <w:r>
        <w:t>lineamientos generales al Título VI “Administración del Riesgo Operativo” del “Reglamento sobre Administración Integral de Riesgos”, Acuerdo SUGEF 2-10, para las incidencias se deben incluir aquellos eventos cuyo importe o monto, sin considerar el recupero, supere el umbral mínimo establecido por la Junta Directiva o autoridad equivalente de la entidad. No obstante, aquellos eventos de similar naturaleza que individualmente no alcancen el monto mínimo pero su sumatoria lo exceda y se produzcan en el mismo mes (pérdidas repetitivas), deben ser incluidos e informados en forma consolidada.</w:t>
      </w:r>
      <w:r>
        <w:rPr>
          <w:rFonts w:eastAsiaTheme="minorHAnsi" w:cstheme="minorBidi"/>
          <w:szCs w:val="22"/>
          <w:lang w:val="es-CR"/>
        </w:rPr>
        <w:t xml:space="preserve"> </w:t>
      </w:r>
    </w:p>
    <w:p w:rsidRPr="00102511" w:rsidR="00B60A7D" w:rsidP="00B60A7D" w:rsidRDefault="00B60A7D" w14:paraId="320F413A" w14:textId="77777777">
      <w:pPr>
        <w:pStyle w:val="Prrafodelista"/>
        <w:rPr>
          <w:rFonts w:eastAsiaTheme="minorHAnsi" w:cstheme="minorBidi"/>
          <w:szCs w:val="22"/>
          <w:lang w:val="es-CR"/>
        </w:rPr>
      </w:pPr>
    </w:p>
    <w:p w:rsidRPr="00E72532" w:rsidR="00B60A7D" w:rsidP="00B60A7D" w:rsidRDefault="00B60A7D" w14:paraId="0E460B71" w14:textId="77777777">
      <w:pPr>
        <w:pStyle w:val="Prrafodelista"/>
        <w:numPr>
          <w:ilvl w:val="0"/>
          <w:numId w:val="4"/>
        </w:numPr>
        <w:rPr>
          <w:rFonts w:eastAsiaTheme="minorHAnsi" w:cstheme="minorBidi"/>
          <w:szCs w:val="22"/>
          <w:lang w:val="es-CR"/>
        </w:rPr>
      </w:pPr>
      <w:r w:rsidRPr="00E72532">
        <w:rPr>
          <w:rFonts w:eastAsiaTheme="minorHAnsi" w:cstheme="minorBidi"/>
          <w:szCs w:val="22"/>
          <w:lang w:val="es-CR"/>
        </w:rPr>
        <w:t>A partir de lo indicado en el inciso anterior, algunas entidades realizan agrupación de eventos de similar naturaleza, lo cual limita el análisis para conocer la cantidad de eventos que realmente se presentaron en los respectivos periodos</w:t>
      </w:r>
      <w:r>
        <w:rPr>
          <w:rFonts w:eastAsiaTheme="minorHAnsi" w:cstheme="minorBidi"/>
          <w:szCs w:val="22"/>
          <w:lang w:val="es-CR"/>
        </w:rPr>
        <w:t>.</w:t>
      </w:r>
    </w:p>
    <w:p w:rsidRPr="00153958" w:rsidR="00B60A7D" w:rsidP="00B60A7D" w:rsidRDefault="00B60A7D" w14:paraId="30319876" w14:textId="77777777">
      <w:pPr>
        <w:autoSpaceDE w:val="0"/>
        <w:autoSpaceDN w:val="0"/>
        <w:adjustRightInd w:val="0"/>
        <w:spacing w:line="240" w:lineRule="auto"/>
        <w:rPr>
          <w:szCs w:val="22"/>
          <w:lang w:val="es-CR"/>
        </w:rPr>
      </w:pPr>
    </w:p>
    <w:p w:rsidRPr="00153958" w:rsidR="00B60A7D" w:rsidP="00B60A7D" w:rsidRDefault="00B60A7D" w14:paraId="79B2B95C" w14:textId="77777777">
      <w:pPr>
        <w:rPr>
          <w:rFonts w:eastAsiaTheme="minorHAnsi"/>
          <w:szCs w:val="22"/>
        </w:rPr>
      </w:pPr>
      <w:r w:rsidRPr="00153958">
        <w:rPr>
          <w:szCs w:val="22"/>
        </w:rPr>
        <w:t>Dispone:</w:t>
      </w:r>
    </w:p>
    <w:p w:rsidRPr="00153958" w:rsidR="00B60A7D" w:rsidP="00B60A7D" w:rsidRDefault="00B60A7D" w14:paraId="587DFE19" w14:textId="77777777">
      <w:pPr>
        <w:rPr>
          <w:rFonts w:ascii="Calibri" w:hAnsi="Calibri"/>
          <w:szCs w:val="22"/>
        </w:rPr>
      </w:pPr>
    </w:p>
    <w:p w:rsidRPr="00153958" w:rsidR="00B60A7D" w:rsidP="00B60A7D" w:rsidRDefault="00B60A7D" w14:paraId="7489F2B3" w14:textId="77777777">
      <w:pPr>
        <w:numPr>
          <w:ilvl w:val="0"/>
          <w:numId w:val="5"/>
        </w:numPr>
        <w:autoSpaceDE w:val="0"/>
        <w:autoSpaceDN w:val="0"/>
        <w:adjustRightInd w:val="0"/>
        <w:spacing w:line="240" w:lineRule="auto"/>
        <w:contextualSpacing/>
        <w:rPr>
          <w:rFonts w:eastAsiaTheme="minorHAnsi" w:cstheme="minorBidi"/>
          <w:szCs w:val="22"/>
          <w:lang w:val="es-CR"/>
        </w:rPr>
      </w:pPr>
      <w:r w:rsidRPr="00153958">
        <w:rPr>
          <w:rFonts w:eastAsiaTheme="minorHAnsi" w:cstheme="minorBidi"/>
          <w:szCs w:val="22"/>
          <w:lang w:val="es-CR"/>
        </w:rPr>
        <w:t xml:space="preserve">Solicitar el campo </w:t>
      </w:r>
      <w:r>
        <w:rPr>
          <w:rFonts w:eastAsiaTheme="minorHAnsi" w:cstheme="minorBidi"/>
          <w:szCs w:val="22"/>
          <w:lang w:val="es-CR"/>
        </w:rPr>
        <w:t>“</w:t>
      </w:r>
      <w:r w:rsidRPr="00B26C1F">
        <w:rPr>
          <w:bCs/>
          <w:szCs w:val="22"/>
          <w:lang w:val="es-CR"/>
        </w:rPr>
        <w:t>CantidadIncidentes</w:t>
      </w:r>
      <w:r>
        <w:rPr>
          <w:bCs/>
          <w:szCs w:val="22"/>
          <w:lang w:val="es-CR"/>
        </w:rPr>
        <w:t>”</w:t>
      </w:r>
      <w:r w:rsidRPr="00153958">
        <w:rPr>
          <w:bCs/>
          <w:szCs w:val="22"/>
          <w:lang w:val="es-CR"/>
        </w:rPr>
        <w:t xml:space="preserve"> a partir de la información que se reciba a través de SICVECA </w:t>
      </w:r>
      <w:r>
        <w:rPr>
          <w:bCs/>
          <w:szCs w:val="22"/>
          <w:lang w:val="es-CR"/>
        </w:rPr>
        <w:t xml:space="preserve">Riesgo Operativo </w:t>
      </w:r>
      <w:r w:rsidRPr="00153958">
        <w:rPr>
          <w:bCs/>
          <w:szCs w:val="22"/>
          <w:lang w:val="es-CR"/>
        </w:rPr>
        <w:t xml:space="preserve">con fecha corte </w:t>
      </w:r>
      <w:r>
        <w:rPr>
          <w:bCs/>
          <w:szCs w:val="22"/>
          <w:lang w:val="es-CR"/>
        </w:rPr>
        <w:t>setiembre</w:t>
      </w:r>
      <w:r w:rsidRPr="00153958">
        <w:rPr>
          <w:bCs/>
          <w:szCs w:val="22"/>
          <w:lang w:val="es-CR"/>
        </w:rPr>
        <w:t xml:space="preserve"> 2023</w:t>
      </w:r>
      <w:r>
        <w:rPr>
          <w:bCs/>
          <w:szCs w:val="22"/>
          <w:lang w:val="es-CR"/>
        </w:rPr>
        <w:t xml:space="preserve">, enviado en el mes de octubre, </w:t>
      </w:r>
      <w:r w:rsidRPr="00153958">
        <w:rPr>
          <w:rFonts w:eastAsiaTheme="minorHAnsi" w:cstheme="minorBidi"/>
          <w:szCs w:val="22"/>
          <w:lang w:val="es-CR"/>
        </w:rPr>
        <w:t>con los siguientes atributos:</w:t>
      </w:r>
    </w:p>
    <w:p w:rsidRPr="00153958" w:rsidR="00B60A7D" w:rsidP="00B60A7D" w:rsidRDefault="00B60A7D" w14:paraId="6B30B343" w14:textId="77777777">
      <w:pPr>
        <w:spacing w:after="160" w:line="252" w:lineRule="auto"/>
        <w:ind w:left="709"/>
        <w:contextualSpacing/>
        <w:rPr>
          <w:rFonts w:eastAsiaTheme="minorHAnsi" w:cstheme="minorBidi"/>
          <w:szCs w:val="22"/>
          <w:lang w:val="es-CR"/>
        </w:rPr>
      </w:pPr>
    </w:p>
    <w:tbl>
      <w:tblPr>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96"/>
        <w:gridCol w:w="1276"/>
        <w:gridCol w:w="1276"/>
        <w:gridCol w:w="850"/>
        <w:gridCol w:w="3085"/>
        <w:gridCol w:w="1310"/>
      </w:tblGrid>
      <w:tr w:rsidRPr="00153958" w:rsidR="00B60A7D" w:rsidTr="00A1786B" w14:paraId="7F3FD4C2" w14:textId="77777777">
        <w:trPr>
          <w:tblHeader/>
          <w:jc w:val="center"/>
        </w:trPr>
        <w:tc>
          <w:tcPr>
            <w:tcW w:w="1696" w:type="dxa"/>
            <w:shd w:val="clear" w:color="auto" w:fill="002060"/>
            <w:vAlign w:val="center"/>
          </w:tcPr>
          <w:p w:rsidRPr="00153958" w:rsidR="00B60A7D" w:rsidP="00A1786B" w:rsidRDefault="00B60A7D" w14:paraId="465A0375"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Nombre del Tag</w:t>
            </w:r>
          </w:p>
        </w:tc>
        <w:tc>
          <w:tcPr>
            <w:tcW w:w="1276" w:type="dxa"/>
            <w:shd w:val="clear" w:color="auto" w:fill="002060"/>
            <w:vAlign w:val="center"/>
          </w:tcPr>
          <w:p w:rsidRPr="00153958" w:rsidR="00B60A7D" w:rsidP="00A1786B" w:rsidRDefault="00B60A7D" w14:paraId="06436B8F"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Tipo del Dato</w:t>
            </w:r>
          </w:p>
        </w:tc>
        <w:tc>
          <w:tcPr>
            <w:tcW w:w="1276" w:type="dxa"/>
            <w:shd w:val="clear" w:color="auto" w:fill="002060"/>
            <w:vAlign w:val="center"/>
          </w:tcPr>
          <w:p w:rsidRPr="00153958" w:rsidR="00B60A7D" w:rsidP="00A1786B" w:rsidRDefault="00B60A7D" w14:paraId="63820E6F"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Tamaño - formato</w:t>
            </w:r>
          </w:p>
        </w:tc>
        <w:tc>
          <w:tcPr>
            <w:tcW w:w="850" w:type="dxa"/>
            <w:shd w:val="clear" w:color="auto" w:fill="002060"/>
            <w:vAlign w:val="center"/>
          </w:tcPr>
          <w:p w:rsidRPr="00153958" w:rsidR="00B60A7D" w:rsidP="00A1786B" w:rsidRDefault="00B60A7D" w14:paraId="0F70AF17"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Estado</w:t>
            </w:r>
          </w:p>
        </w:tc>
        <w:tc>
          <w:tcPr>
            <w:tcW w:w="3085" w:type="dxa"/>
            <w:shd w:val="clear" w:color="auto" w:fill="002060"/>
            <w:vAlign w:val="center"/>
          </w:tcPr>
          <w:p w:rsidRPr="00153958" w:rsidR="00B60A7D" w:rsidP="00A1786B" w:rsidRDefault="00B60A7D" w14:paraId="70F9B502"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Descripción</w:t>
            </w:r>
          </w:p>
        </w:tc>
        <w:tc>
          <w:tcPr>
            <w:tcW w:w="1310" w:type="dxa"/>
            <w:shd w:val="clear" w:color="auto" w:fill="002060"/>
            <w:vAlign w:val="center"/>
          </w:tcPr>
          <w:p w:rsidRPr="00153958" w:rsidR="00B60A7D" w:rsidP="00A1786B" w:rsidRDefault="00B60A7D" w14:paraId="36A1FBA6" w14:textId="77777777">
            <w:pPr>
              <w:spacing w:line="240" w:lineRule="auto"/>
              <w:jc w:val="center"/>
              <w:rPr>
                <w:rFonts w:cstheme="minorHAnsi"/>
                <w:b/>
                <w:bCs/>
                <w:i/>
                <w:iCs/>
                <w:sz w:val="20"/>
                <w:szCs w:val="20"/>
                <w:lang w:val="es-CR"/>
              </w:rPr>
            </w:pPr>
            <w:r w:rsidRPr="00153958">
              <w:rPr>
                <w:rFonts w:cstheme="minorHAnsi"/>
                <w:b/>
                <w:bCs/>
                <w:i/>
                <w:iCs/>
                <w:sz w:val="20"/>
                <w:szCs w:val="20"/>
                <w:lang w:val="es-CR"/>
              </w:rPr>
              <w:t>Obligatorio</w:t>
            </w:r>
          </w:p>
        </w:tc>
      </w:tr>
      <w:tr w:rsidRPr="00153958" w:rsidR="00B60A7D" w:rsidTr="00A1786B" w14:paraId="595E2393" w14:textId="77777777">
        <w:trPr>
          <w:jc w:val="center"/>
        </w:trPr>
        <w:tc>
          <w:tcPr>
            <w:tcW w:w="1696" w:type="dxa"/>
            <w:tcBorders>
              <w:top w:val="single" w:color="auto" w:sz="4" w:space="0"/>
              <w:left w:val="single" w:color="auto" w:sz="4" w:space="0"/>
              <w:bottom w:val="single" w:color="auto" w:sz="4" w:space="0"/>
              <w:right w:val="single" w:color="auto" w:sz="4" w:space="0"/>
            </w:tcBorders>
          </w:tcPr>
          <w:p w:rsidRPr="00D473D1" w:rsidR="00B60A7D" w:rsidP="00A1786B" w:rsidRDefault="00B60A7D" w14:paraId="4ED2254A" w14:textId="77777777">
            <w:pPr>
              <w:spacing w:line="240" w:lineRule="auto"/>
              <w:jc w:val="left"/>
              <w:rPr>
                <w:rFonts w:cstheme="minorHAnsi"/>
                <w:bCs/>
                <w:sz w:val="20"/>
                <w:szCs w:val="20"/>
                <w:lang w:val="es-CR"/>
              </w:rPr>
            </w:pPr>
            <w:bookmarkStart w:name="_Hlk128070190" w:id="0"/>
            <w:r w:rsidRPr="00D473D1">
              <w:rPr>
                <w:bCs/>
                <w:iCs/>
              </w:rPr>
              <w:t>CantidadIncidentes</w:t>
            </w:r>
          </w:p>
        </w:tc>
        <w:tc>
          <w:tcPr>
            <w:tcW w:w="1276" w:type="dxa"/>
            <w:tcBorders>
              <w:top w:val="single" w:color="auto" w:sz="4" w:space="0"/>
              <w:left w:val="single" w:color="auto" w:sz="4" w:space="0"/>
              <w:bottom w:val="single" w:color="auto" w:sz="4" w:space="0"/>
              <w:right w:val="single" w:color="auto" w:sz="4" w:space="0"/>
            </w:tcBorders>
          </w:tcPr>
          <w:p w:rsidRPr="00D473D1" w:rsidR="00B60A7D" w:rsidP="00A1786B" w:rsidRDefault="00B60A7D" w14:paraId="6EED69D0" w14:textId="77777777">
            <w:pPr>
              <w:spacing w:line="240" w:lineRule="auto"/>
              <w:jc w:val="center"/>
              <w:rPr>
                <w:rFonts w:cstheme="minorHAnsi"/>
                <w:bCs/>
                <w:sz w:val="20"/>
                <w:szCs w:val="20"/>
                <w:lang w:val="es-CR"/>
              </w:rPr>
            </w:pPr>
            <w:r w:rsidRPr="00D473D1">
              <w:rPr>
                <w:bCs/>
              </w:rPr>
              <w:t>Numérico</w:t>
            </w:r>
          </w:p>
        </w:tc>
        <w:tc>
          <w:tcPr>
            <w:tcW w:w="1276" w:type="dxa"/>
            <w:tcBorders>
              <w:top w:val="single" w:color="auto" w:sz="4" w:space="0"/>
              <w:left w:val="single" w:color="auto" w:sz="4" w:space="0"/>
              <w:bottom w:val="single" w:color="auto" w:sz="4" w:space="0"/>
              <w:right w:val="single" w:color="auto" w:sz="4" w:space="0"/>
            </w:tcBorders>
          </w:tcPr>
          <w:p w:rsidRPr="00D473D1" w:rsidR="00B60A7D" w:rsidP="00A1786B" w:rsidRDefault="00B60A7D" w14:paraId="250139EA" w14:textId="77777777">
            <w:pPr>
              <w:spacing w:line="240" w:lineRule="auto"/>
              <w:jc w:val="left"/>
              <w:rPr>
                <w:rFonts w:cstheme="minorHAnsi"/>
                <w:bCs/>
                <w:sz w:val="20"/>
                <w:szCs w:val="20"/>
                <w:lang w:val="es-CR"/>
              </w:rPr>
            </w:pPr>
            <w:r w:rsidRPr="00D473D1">
              <w:rPr>
                <w:bCs/>
              </w:rPr>
              <w:t>1 a 6</w:t>
            </w:r>
          </w:p>
        </w:tc>
        <w:tc>
          <w:tcPr>
            <w:tcW w:w="850" w:type="dxa"/>
            <w:tcBorders>
              <w:top w:val="single" w:color="auto" w:sz="4" w:space="0"/>
              <w:left w:val="single" w:color="auto" w:sz="4" w:space="0"/>
              <w:bottom w:val="single" w:color="auto" w:sz="4" w:space="0"/>
              <w:right w:val="single" w:color="auto" w:sz="4" w:space="0"/>
            </w:tcBorders>
          </w:tcPr>
          <w:p w:rsidRPr="00D473D1" w:rsidR="00B60A7D" w:rsidP="00A1786B" w:rsidRDefault="00B60A7D" w14:paraId="3B178878" w14:textId="77777777">
            <w:pPr>
              <w:spacing w:line="240" w:lineRule="auto"/>
              <w:jc w:val="left"/>
              <w:rPr>
                <w:rFonts w:eastAsia="Arial Japanese" w:cstheme="minorHAnsi"/>
                <w:bCs/>
                <w:sz w:val="20"/>
                <w:szCs w:val="20"/>
                <w:lang w:val="es-CR"/>
              </w:rPr>
            </w:pPr>
            <w:r w:rsidRPr="00D473D1">
              <w:rPr>
                <w:rFonts w:eastAsia="Arial Japanese"/>
                <w:bCs/>
                <w:lang w:val="es-CR"/>
              </w:rPr>
              <w:t>Activo</w:t>
            </w:r>
          </w:p>
        </w:tc>
        <w:tc>
          <w:tcPr>
            <w:tcW w:w="3085" w:type="dxa"/>
            <w:tcBorders>
              <w:top w:val="single" w:color="auto" w:sz="4" w:space="0"/>
              <w:left w:val="single" w:color="auto" w:sz="4" w:space="0"/>
              <w:bottom w:val="single" w:color="auto" w:sz="4" w:space="0"/>
              <w:right w:val="single" w:color="auto" w:sz="4" w:space="0"/>
            </w:tcBorders>
          </w:tcPr>
          <w:p w:rsidRPr="00D473D1" w:rsidR="00B60A7D" w:rsidP="00A1786B" w:rsidRDefault="00B60A7D" w14:paraId="10DB41DB" w14:textId="77777777">
            <w:pPr>
              <w:spacing w:line="240" w:lineRule="auto"/>
              <w:rPr>
                <w:rFonts w:eastAsia="Arial Japanese" w:cstheme="minorHAnsi"/>
                <w:bCs/>
                <w:sz w:val="20"/>
                <w:szCs w:val="20"/>
                <w:lang w:val="es-CR"/>
              </w:rPr>
            </w:pPr>
            <w:r w:rsidRPr="00D473D1">
              <w:rPr>
                <w:rFonts w:eastAsia="Arial Japanese"/>
                <w:bCs/>
                <w:lang w:val="es-CR"/>
              </w:rPr>
              <w:t>En caso de los eventos de similar naturaleza que individualmente no alcancen el monto mínimo del umbral, pero su sumatoria lo exceda y se produzcan en el mismo mes (pérdidas repetitivas), deben ser incluidos e informados en forma consolidada, por lo que en este campo se debe indicar la cantidad de eventos que conforman el incidente. para los casos en los que sea un único incidente y no un acumulado, se debe indicar 1.</w:t>
            </w:r>
          </w:p>
        </w:tc>
        <w:tc>
          <w:tcPr>
            <w:tcW w:w="1310" w:type="dxa"/>
            <w:tcBorders>
              <w:top w:val="single" w:color="auto" w:sz="4" w:space="0"/>
              <w:left w:val="single" w:color="auto" w:sz="4" w:space="0"/>
              <w:bottom w:val="single" w:color="auto" w:sz="4" w:space="0"/>
              <w:right w:val="single" w:color="auto" w:sz="4" w:space="0"/>
            </w:tcBorders>
          </w:tcPr>
          <w:p w:rsidRPr="00D473D1" w:rsidR="00B60A7D" w:rsidP="00A1786B" w:rsidRDefault="00B60A7D" w14:paraId="467A355E" w14:textId="77777777">
            <w:pPr>
              <w:spacing w:line="240" w:lineRule="auto"/>
              <w:jc w:val="center"/>
              <w:rPr>
                <w:rFonts w:eastAsia="Arial Japanese" w:cstheme="minorHAnsi"/>
                <w:bCs/>
                <w:sz w:val="20"/>
                <w:szCs w:val="20"/>
                <w:lang w:val="es-CR"/>
              </w:rPr>
            </w:pPr>
            <w:r w:rsidRPr="00D473D1">
              <w:rPr>
                <w:rFonts w:eastAsia="Arial Japanese"/>
                <w:bCs/>
                <w:lang w:val="es-CR"/>
              </w:rPr>
              <w:t>SI</w:t>
            </w:r>
          </w:p>
        </w:tc>
      </w:tr>
      <w:bookmarkEnd w:id="0"/>
    </w:tbl>
    <w:p w:rsidRPr="00153958" w:rsidR="00B60A7D" w:rsidP="00B60A7D" w:rsidRDefault="00B60A7D" w14:paraId="0B87A2BC" w14:textId="77777777">
      <w:pPr>
        <w:spacing w:after="160" w:line="252" w:lineRule="auto"/>
        <w:ind w:left="450"/>
        <w:contextualSpacing/>
        <w:rPr>
          <w:rFonts w:eastAsiaTheme="minorHAnsi" w:cstheme="minorBidi"/>
          <w:b/>
          <w:bCs/>
          <w:color w:val="000000"/>
          <w:szCs w:val="22"/>
          <w:lang w:val="es-CR"/>
        </w:rPr>
      </w:pPr>
    </w:p>
    <w:p w:rsidR="00B60A7D" w:rsidP="00B60A7D" w:rsidRDefault="00B60A7D" w14:paraId="6D7AC216" w14:textId="77777777">
      <w:pPr>
        <w:numPr>
          <w:ilvl w:val="0"/>
          <w:numId w:val="5"/>
        </w:numPr>
        <w:spacing w:line="240" w:lineRule="auto"/>
        <w:rPr>
          <w:rFonts w:eastAsiaTheme="minorHAnsi" w:cstheme="minorBidi"/>
          <w:color w:val="000000" w:themeColor="text1"/>
          <w:szCs w:val="22"/>
          <w:lang w:val="es-CR"/>
        </w:rPr>
      </w:pPr>
      <w:r w:rsidRPr="00153958">
        <w:rPr>
          <w:rFonts w:eastAsiaTheme="minorHAnsi" w:cstheme="minorBidi"/>
          <w:color w:val="000000" w:themeColor="text1"/>
          <w:szCs w:val="22"/>
          <w:lang w:val="es-CR"/>
        </w:rPr>
        <w:t xml:space="preserve">Incorporar la siguiente validación al archivo de </w:t>
      </w:r>
      <w:r>
        <w:rPr>
          <w:rFonts w:eastAsiaTheme="minorHAnsi" w:cstheme="minorBidi"/>
          <w:color w:val="000000" w:themeColor="text1"/>
          <w:szCs w:val="22"/>
          <w:lang w:val="es-CR"/>
        </w:rPr>
        <w:t>Incidentes de Riesgo Operativo</w:t>
      </w:r>
      <w:r w:rsidRPr="00153958">
        <w:rPr>
          <w:rFonts w:eastAsiaTheme="minorHAnsi" w:cstheme="minorBidi"/>
          <w:color w:val="000000" w:themeColor="text1"/>
          <w:szCs w:val="22"/>
          <w:lang w:val="es-CR"/>
        </w:rPr>
        <w:t xml:space="preserve">: </w:t>
      </w:r>
    </w:p>
    <w:p w:rsidR="00B60A7D" w:rsidP="00B60A7D" w:rsidRDefault="00B60A7D" w14:paraId="1974C440" w14:textId="77777777">
      <w:pPr>
        <w:spacing w:line="240" w:lineRule="auto"/>
        <w:ind w:left="360"/>
        <w:rPr>
          <w:rFonts w:eastAsiaTheme="minorHAnsi" w:cstheme="minorBidi"/>
          <w:color w:val="000000" w:themeColor="text1"/>
          <w:szCs w:val="22"/>
          <w:lang w:val="es-CR"/>
        </w:rPr>
      </w:pPr>
    </w:p>
    <w:p w:rsidRPr="00B9028E" w:rsidR="00B60A7D" w:rsidP="00B60A7D" w:rsidRDefault="00B60A7D" w14:paraId="2F998146" w14:textId="77777777">
      <w:pPr>
        <w:numPr>
          <w:ilvl w:val="0"/>
          <w:numId w:val="6"/>
        </w:numPr>
        <w:autoSpaceDE w:val="0"/>
        <w:autoSpaceDN w:val="0"/>
        <w:adjustRightInd w:val="0"/>
        <w:spacing w:line="240" w:lineRule="auto"/>
        <w:contextualSpacing/>
        <w:rPr>
          <w:rFonts w:eastAsiaTheme="minorHAnsi" w:cstheme="minorBidi"/>
          <w:color w:val="000000" w:themeColor="text1"/>
          <w:szCs w:val="22"/>
          <w:lang w:val="es-CR"/>
        </w:rPr>
      </w:pPr>
      <w:r w:rsidRPr="00B9028E">
        <w:rPr>
          <w:rFonts w:eastAsiaTheme="minorHAnsi" w:cstheme="minorBidi"/>
          <w:color w:val="000000" w:themeColor="text1"/>
          <w:szCs w:val="22"/>
          <w:lang w:val="es-CR"/>
        </w:rPr>
        <w:t>Para el campo “CantidadIncidentes” se debe reportar la suma de eventos inferiores al umbral que sumados durante el mes lo superen, pero para los casos que sea un único incidente y no un acumulado, se debe indicar 1, por lo que el campo no puede ser menor a 1 ni estar vacío.</w:t>
      </w:r>
    </w:p>
    <w:p w:rsidRPr="00B9028E" w:rsidR="00B60A7D" w:rsidP="00B60A7D" w:rsidRDefault="00B60A7D" w14:paraId="2F0132D9" w14:textId="77777777">
      <w:pPr>
        <w:rPr>
          <w:rFonts w:eastAsiaTheme="minorHAnsi" w:cstheme="minorBidi"/>
          <w:color w:val="000000" w:themeColor="text1"/>
          <w:szCs w:val="22"/>
          <w:lang w:val="es-CR"/>
        </w:rPr>
      </w:pPr>
    </w:p>
    <w:p w:rsidRPr="00F4285A" w:rsidR="00B60A7D" w:rsidP="00B60A7D" w:rsidRDefault="00B60A7D" w14:paraId="5C086F32" w14:textId="77777777">
      <w:pPr>
        <w:pStyle w:val="Prrafodelista"/>
        <w:numPr>
          <w:ilvl w:val="0"/>
          <w:numId w:val="5"/>
        </w:numPr>
        <w:autoSpaceDE w:val="0"/>
        <w:autoSpaceDN w:val="0"/>
        <w:adjustRightInd w:val="0"/>
        <w:spacing w:line="240" w:lineRule="auto"/>
        <w:rPr>
          <w:rFonts w:eastAsiaTheme="minorHAnsi" w:cstheme="minorBidi"/>
          <w:color w:val="000000" w:themeColor="text1"/>
          <w:szCs w:val="22"/>
          <w:lang w:val="es-CR"/>
        </w:rPr>
      </w:pPr>
      <w:r>
        <w:rPr>
          <w:rFonts w:eastAsiaTheme="minorHAnsi" w:cstheme="minorBidi"/>
          <w:color w:val="000000" w:themeColor="text1"/>
          <w:szCs w:val="22"/>
          <w:lang w:val="es-CR"/>
        </w:rPr>
        <w:lastRenderedPageBreak/>
        <w:t xml:space="preserve">Además, se ajustó el periodo de envío, de manera que la información debe ser enviada </w:t>
      </w:r>
      <w:r w:rsidRPr="00F4285A">
        <w:rPr>
          <w:rFonts w:eastAsiaTheme="minorHAnsi" w:cstheme="minorBidi"/>
          <w:color w:val="000000" w:themeColor="text1"/>
          <w:szCs w:val="22"/>
          <w:lang w:val="es-CR"/>
        </w:rPr>
        <w:t>a más tardar el décimo día hábil posterior al cierre de cada trimestre.</w:t>
      </w:r>
    </w:p>
    <w:p w:rsidRPr="00153958" w:rsidR="00B60A7D" w:rsidP="00B60A7D" w:rsidRDefault="00B60A7D" w14:paraId="4A9EAC20" w14:textId="77777777">
      <w:pPr>
        <w:spacing w:line="240" w:lineRule="auto"/>
        <w:ind w:left="284"/>
        <w:rPr>
          <w:rFonts w:eastAsiaTheme="minorHAnsi" w:cstheme="minorBidi"/>
          <w:szCs w:val="22"/>
          <w:lang w:val="es-CR"/>
        </w:rPr>
      </w:pPr>
    </w:p>
    <w:p w:rsidRPr="00153958" w:rsidR="00B60A7D" w:rsidP="00B60A7D" w:rsidRDefault="00B60A7D" w14:paraId="443E3518" w14:textId="77777777">
      <w:pPr>
        <w:numPr>
          <w:ilvl w:val="0"/>
          <w:numId w:val="5"/>
        </w:numPr>
        <w:spacing w:line="240" w:lineRule="auto"/>
        <w:rPr>
          <w:rFonts w:eastAsiaTheme="minorHAnsi" w:cstheme="minorBidi"/>
          <w:color w:val="000000" w:themeColor="text1"/>
          <w:szCs w:val="22"/>
          <w:lang w:val="es-CR"/>
        </w:rPr>
      </w:pPr>
      <w:r w:rsidRPr="00153958">
        <w:rPr>
          <w:rFonts w:eastAsiaTheme="minorHAnsi" w:cstheme="minorBidi"/>
          <w:color w:val="000000" w:themeColor="text1"/>
          <w:szCs w:val="22"/>
          <w:lang w:val="es-CR"/>
        </w:rPr>
        <w:t xml:space="preserve">Las consultas sobre estos cambios deben realizarse únicamente a la dirección de correo: </w:t>
      </w:r>
      <w:hyperlink w:history="1" r:id="rId12">
        <w:r w:rsidRPr="00DE4261">
          <w:rPr>
            <w:rStyle w:val="Hipervnculo"/>
          </w:rPr>
          <w:t>consultasriesgooperativo@sugef.fi.cr</w:t>
        </w:r>
      </w:hyperlink>
      <w:r>
        <w:t xml:space="preserve"> </w:t>
      </w:r>
    </w:p>
    <w:p w:rsidR="00B60A7D" w:rsidP="00B60A7D" w:rsidRDefault="00B60A7D" w14:paraId="2187C205" w14:textId="77777777">
      <w:pPr>
        <w:pStyle w:val="Texto"/>
        <w:spacing w:before="0" w:after="0" w:line="240" w:lineRule="auto"/>
        <w:rPr>
          <w:sz w:val="24"/>
        </w:rPr>
      </w:pPr>
    </w:p>
    <w:p w:rsidR="00B60A7D" w:rsidP="00B60A7D" w:rsidRDefault="00B60A7D" w14:paraId="702B0DA9" w14:textId="77777777">
      <w:pPr>
        <w:pStyle w:val="Texto"/>
        <w:spacing w:before="0" w:after="0" w:line="240" w:lineRule="auto"/>
        <w:rPr>
          <w:sz w:val="24"/>
        </w:rPr>
      </w:pPr>
    </w:p>
    <w:p w:rsidRPr="00C9735C" w:rsidR="00B60A7D" w:rsidP="00B60A7D" w:rsidRDefault="00B60A7D" w14:paraId="3EB7F00D" w14:textId="77777777">
      <w:pPr>
        <w:pStyle w:val="Texto"/>
        <w:spacing w:before="0" w:after="0" w:line="240" w:lineRule="auto"/>
        <w:rPr>
          <w:szCs w:val="22"/>
        </w:rPr>
      </w:pPr>
      <w:r w:rsidRPr="00C9735C">
        <w:rPr>
          <w:noProof/>
          <w:szCs w:val="22"/>
          <w:lang w:val="es-CR" w:eastAsia="es-CR"/>
        </w:rPr>
        <w:drawing>
          <wp:anchor distT="0" distB="0" distL="114300" distR="114300" simplePos="0" relativeHeight="251659264" behindDoc="1" locked="0" layoutInCell="1" allowOverlap="1" wp14:editId="7664CDD8" wp14:anchorId="667A2185">
            <wp:simplePos x="0" y="0"/>
            <wp:positionH relativeFrom="column">
              <wp:posOffset>-163830</wp:posOffset>
            </wp:positionH>
            <wp:positionV relativeFrom="paragraph">
              <wp:posOffset>182880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C9735C">
        <w:rPr>
          <w:szCs w:val="22"/>
        </w:rPr>
        <w:t>Atentamente,</w:t>
      </w:r>
    </w:p>
    <w:p w:rsidRPr="00C9735C" w:rsidR="00B60A7D" w:rsidP="00B60A7D" w:rsidRDefault="00B60A7D" w14:paraId="3180ECAE" w14:textId="77777777">
      <w:pPr>
        <w:spacing w:line="240" w:lineRule="auto"/>
        <w:rPr>
          <w:szCs w:val="22"/>
        </w:rPr>
      </w:pPr>
    </w:p>
    <w:p w:rsidRPr="00C9735C" w:rsidR="00B60A7D" w:rsidP="00B60A7D" w:rsidRDefault="00B60A7D" w14:paraId="3A048D67" w14:textId="77777777">
      <w:pPr>
        <w:spacing w:line="240" w:lineRule="auto"/>
        <w:rPr>
          <w:szCs w:val="22"/>
        </w:rPr>
      </w:pPr>
    </w:p>
    <w:p w:rsidRPr="00C9735C" w:rsidR="00B60A7D" w:rsidP="00B60A7D" w:rsidRDefault="00B60A7D" w14:paraId="5BB1791D" w14:textId="77777777">
      <w:pPr>
        <w:spacing w:after="160" w:line="259" w:lineRule="auto"/>
        <w:jc w:val="left"/>
        <w:rPr>
          <w:szCs w:val="22"/>
        </w:rPr>
      </w:pPr>
      <w:bookmarkStart w:name="_Hlk53758837" w:id="1"/>
      <w:r w:rsidRPr="00C9735C">
        <w:rPr>
          <w:szCs w:val="22"/>
        </w:rPr>
        <w:t>Rocío Aguilar Montoya</w:t>
      </w:r>
      <w:r w:rsidRPr="00C9735C">
        <w:rPr>
          <w:szCs w:val="22"/>
        </w:rPr>
        <w:br/>
      </w:r>
      <w:r w:rsidRPr="00C9735C">
        <w:rPr>
          <w:b/>
          <w:bCs/>
          <w:szCs w:val="22"/>
        </w:rPr>
        <w:t>Superintendente General</w:t>
      </w:r>
    </w:p>
    <w:bookmarkEnd w:id="1"/>
    <w:p w:rsidR="00D249FB" w:rsidP="00D249FB" w:rsidRDefault="00D249FB" w14:paraId="020B9BBC" w14:textId="696D88E9">
      <w:pPr>
        <w:pStyle w:val="encabezado0"/>
        <w:spacing w:line="240" w:lineRule="auto"/>
      </w:pPr>
      <w:r>
        <w:rPr>
          <w:sz w:val="18"/>
          <w:szCs w:val="18"/>
        </w:rPr>
        <w:t>RAM</w:t>
      </w:r>
      <w:r w:rsidRPr="00EA3A8E">
        <w:rPr>
          <w:sz w:val="18"/>
          <w:szCs w:val="18"/>
        </w:rPr>
        <w:t>/OMMB</w:t>
      </w:r>
      <w:r>
        <w:rPr>
          <w:sz w:val="18"/>
          <w:szCs w:val="18"/>
        </w:rPr>
        <w:t>- JAE</w:t>
      </w:r>
      <w:r w:rsidRPr="00EA3A8E">
        <w:rPr>
          <w:sz w:val="18"/>
          <w:szCs w:val="18"/>
        </w:rPr>
        <w:t>/p</w:t>
      </w:r>
      <w:r>
        <w:rPr>
          <w:sz w:val="18"/>
          <w:szCs w:val="18"/>
        </w:rPr>
        <w:t>m</w:t>
      </w:r>
      <w:r w:rsidRPr="00EA3A8E">
        <w:rPr>
          <w:sz w:val="18"/>
          <w:szCs w:val="18"/>
        </w:rPr>
        <w:t>v</w:t>
      </w:r>
    </w:p>
    <w:p w:rsidR="00B60A7D" w:rsidP="00B60A7D" w:rsidRDefault="00B60A7D" w14:paraId="42803F6D" w14:textId="77777777">
      <w:pPr>
        <w:pStyle w:val="Negrita"/>
        <w:spacing w:line="240" w:lineRule="auto"/>
        <w:jc w:val="left"/>
        <w:rPr>
          <w:noProof/>
          <w:lang w:val="es-CR" w:eastAsia="es-CR"/>
        </w:rPr>
      </w:pPr>
    </w:p>
    <w:p w:rsidR="00B60A7D" w:rsidP="00B60A7D" w:rsidRDefault="00B60A7D" w14:paraId="4D0E1608" w14:textId="77777777">
      <w:pPr>
        <w:pStyle w:val="Negrita"/>
        <w:spacing w:line="240" w:lineRule="auto"/>
      </w:pPr>
    </w:p>
    <w:p w:rsidR="00B60A7D" w:rsidP="00B60A7D" w:rsidRDefault="00B60A7D" w14:paraId="30701E27" w14:textId="77777777">
      <w:pPr>
        <w:pStyle w:val="Negrita"/>
        <w:spacing w:line="240" w:lineRule="auto"/>
      </w:pPr>
    </w:p>
    <w:p w:rsidR="00B60A7D" w:rsidP="00B60A7D" w:rsidRDefault="00B60A7D" w14:paraId="58419190" w14:textId="77777777"/>
    <w:p w:rsidRPr="0085692C" w:rsidR="00181ABF" w:rsidP="00181ABF" w:rsidRDefault="00181ABF" w14:paraId="3DE9996A" w14:textId="48237988">
      <w:pPr>
        <w:pStyle w:val="CC"/>
        <w:spacing w:line="240" w:lineRule="auto"/>
      </w:pPr>
    </w:p>
    <w:p w:rsidR="00E42AAC" w:rsidRDefault="00E42AAC" w14:paraId="45AF47AE" w14:textId="77777777"/>
    <w:sectPr w:rsidR="00E42AAC">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2DA0" w14:textId="77777777" w:rsidR="003F6F96" w:rsidRDefault="003F6F96" w:rsidP="00181ABF">
      <w:pPr>
        <w:spacing w:line="240" w:lineRule="auto"/>
      </w:pPr>
      <w:r>
        <w:separator/>
      </w:r>
    </w:p>
  </w:endnote>
  <w:endnote w:type="continuationSeparator" w:id="0">
    <w:p w14:paraId="0DD6DBCF" w14:textId="77777777" w:rsidR="003F6F96" w:rsidRDefault="003F6F96"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Japanese">
    <w:altName w:val="Batang"/>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157438" w:rsidTr="00157438" w14:paraId="734D5272" w14:textId="77777777">
      <w:tc>
        <w:tcPr>
          <w:tcW w:w="7356" w:type="dxa"/>
        </w:tcPr>
        <w:p w:rsidR="00157438" w:rsidP="00157438" w:rsidRDefault="00157438" w14:paraId="1322D5B6" w14:textId="77777777">
          <w:pPr>
            <w:pStyle w:val="Piedepgina"/>
          </w:pPr>
          <w:bookmarkStart w:name="_Hlk138176356" w:id="2"/>
          <w:r>
            <w:rPr>
              <w:b/>
              <w:noProof/>
              <w:color w:val="046BAC"/>
              <w:sz w:val="18"/>
            </w:rPr>
            <mc:AlternateContent>
              <mc:Choice Requires="wps">
                <w:drawing>
                  <wp:anchor distT="0" distB="0" distL="114300" distR="114300" simplePos="0" relativeHeight="251660288" behindDoc="0" locked="0" layoutInCell="0" allowOverlap="1" wp14:editId="7381FA43" wp14:anchorId="7A5A4124">
                    <wp:simplePos x="0" y="0"/>
                    <wp:positionH relativeFrom="page">
                      <wp:posOffset>0</wp:posOffset>
                    </wp:positionH>
                    <wp:positionV relativeFrom="page">
                      <wp:posOffset>9594215</wp:posOffset>
                    </wp:positionV>
                    <wp:extent cx="7772400" cy="273050"/>
                    <wp:effectExtent l="0" t="0" r="0" b="12700"/>
                    <wp:wrapNone/>
                    <wp:docPr id="5" name="MSIPCM258c4152ab02a8b9639532a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57438" w:rsidR="00157438" w:rsidP="00157438" w:rsidRDefault="00157438" w14:paraId="09F4E12F" w14:textId="77777777">
                                <w:pPr>
                                  <w:jc w:val="center"/>
                                  <w:rPr>
                                    <w:rFonts w:ascii="Calibri" w:hAnsi="Calibri" w:cs="Calibri"/>
                                    <w:color w:val="000000"/>
                                    <w:sz w:val="20"/>
                                  </w:rPr>
                                </w:pPr>
                                <w:r w:rsidRPr="001574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A5A4124">
                    <v:stroke joinstyle="miter"/>
                    <v:path gradientshapeok="t" o:connecttype="rect"/>
                  </v:shapetype>
                  <v:shape id="MSIPCM258c4152ab02a8b9639532a2"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157438" w:rsidR="00157438" w:rsidP="00157438" w:rsidRDefault="00157438" w14:paraId="09F4E12F" w14:textId="77777777">
                          <w:pPr>
                            <w:jc w:val="center"/>
                            <w:rPr>
                              <w:rFonts w:ascii="Calibri" w:hAnsi="Calibri" w:cs="Calibri"/>
                              <w:color w:val="000000"/>
                              <w:sz w:val="20"/>
                            </w:rPr>
                          </w:pPr>
                          <w:r w:rsidRPr="001574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bookmarkEnd w:id="2"/>
        <w:p w:rsidRPr="009349F3" w:rsidR="00157438" w:rsidP="00181ABF" w:rsidRDefault="00157438" w14:paraId="3A6D5653" w14:textId="77777777">
          <w:pPr>
            <w:pStyle w:val="Piedepgina"/>
            <w:rPr>
              <w:b/>
              <w:color w:val="7F7F7F" w:themeColor="text1" w:themeTint="80"/>
              <w:sz w:val="16"/>
              <w:szCs w:val="16"/>
            </w:rPr>
          </w:pPr>
        </w:p>
      </w:tc>
      <w:tc>
        <w:tcPr>
          <w:tcW w:w="1472" w:type="dxa"/>
        </w:tcPr>
        <w:p w:rsidRPr="009349F3" w:rsidR="00157438" w:rsidP="00181ABF" w:rsidRDefault="00157438" w14:paraId="0F957244"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57438" w14:paraId="7860E502" w14:textId="77777777">
    <w:pPr>
      <w:pStyle w:val="Piedepgina"/>
    </w:pPr>
    <w:r>
      <w:rPr>
        <w:noProof/>
      </w:rPr>
      <w:drawing>
        <wp:anchor distT="0" distB="0" distL="114300" distR="114300" simplePos="0" relativeHeight="251659264" behindDoc="1" locked="0" layoutInCell="1" allowOverlap="1" wp14:editId="06E13D2F" wp14:anchorId="5C6AC3AA">
          <wp:simplePos x="0" y="0"/>
          <wp:positionH relativeFrom="page">
            <wp:align>right</wp:align>
          </wp:positionH>
          <wp:positionV relativeFrom="paragraph">
            <wp:posOffset>-266700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F02F" w14:textId="77777777" w:rsidR="003F6F96" w:rsidRDefault="003F6F96" w:rsidP="00181ABF">
      <w:pPr>
        <w:spacing w:line="240" w:lineRule="auto"/>
      </w:pPr>
      <w:r>
        <w:separator/>
      </w:r>
    </w:p>
  </w:footnote>
  <w:footnote w:type="continuationSeparator" w:id="0">
    <w:p w14:paraId="085DE979" w14:textId="77777777" w:rsidR="003F6F96" w:rsidRDefault="003F6F96"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4D2BEF40" w14:textId="77777777">
    <w:pPr>
      <w:pStyle w:val="Encabezado"/>
    </w:pPr>
  </w:p>
  <w:p w:rsidR="00181ABF" w:rsidP="00B60A7D" w:rsidRDefault="00181ABF" w14:paraId="29864DAE" w14:textId="77777777">
    <w:pPr>
      <w:pStyle w:val="Encabezado"/>
      <w:jc w:val="center"/>
    </w:pPr>
    <w:r>
      <w:rPr>
        <w:noProof/>
        <w:lang w:val="es-CR" w:eastAsia="es-CR"/>
      </w:rPr>
      <w:drawing>
        <wp:inline distT="0" distB="0" distL="0" distR="0" wp14:anchorId="0A0E56C9" wp14:editId="6324158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D67"/>
    <w:multiLevelType w:val="hybridMultilevel"/>
    <w:tmpl w:val="0E0E9918"/>
    <w:lvl w:ilvl="0" w:tplc="94C83330">
      <w:start w:val="1"/>
      <w:numFmt w:val="decimal"/>
      <w:lvlText w:val="%1."/>
      <w:lvlJc w:val="left"/>
      <w:pPr>
        <w:ind w:left="360" w:hanging="360"/>
      </w:pPr>
      <w:rPr>
        <w:rFonts w:ascii="Cambria" w:hAnsi="Cambria"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5FC6A94"/>
    <w:multiLevelType w:val="hybridMultilevel"/>
    <w:tmpl w:val="6DD0335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1343481"/>
    <w:multiLevelType w:val="hybridMultilevel"/>
    <w:tmpl w:val="8BC6CB38"/>
    <w:lvl w:ilvl="0" w:tplc="FFFFFFFF">
      <w:start w:val="1"/>
      <w:numFmt w:val="decimal"/>
      <w:lvlText w:val="%1."/>
      <w:lvlJc w:val="left"/>
      <w:pPr>
        <w:ind w:left="360" w:hanging="360"/>
      </w:pPr>
      <w:rPr>
        <w:rFonts w:ascii="Cambria" w:hAnsi="Cambri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792020500">
    <w:abstractNumId w:val="1"/>
  </w:num>
  <w:num w:numId="2" w16cid:durableId="1703164862">
    <w:abstractNumId w:val="3"/>
  </w:num>
  <w:num w:numId="3" w16cid:durableId="1190676900">
    <w:abstractNumId w:val="5"/>
  </w:num>
  <w:num w:numId="4" w16cid:durableId="1334333459">
    <w:abstractNumId w:val="0"/>
  </w:num>
  <w:num w:numId="5" w16cid:durableId="1022440470">
    <w:abstractNumId w:val="4"/>
  </w:num>
  <w:num w:numId="6" w16cid:durableId="1777553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96"/>
    <w:rsid w:val="000202E3"/>
    <w:rsid w:val="00157438"/>
    <w:rsid w:val="00181ABF"/>
    <w:rsid w:val="002C4C9F"/>
    <w:rsid w:val="00313AC6"/>
    <w:rsid w:val="003172BE"/>
    <w:rsid w:val="003F6F96"/>
    <w:rsid w:val="00937EF0"/>
    <w:rsid w:val="00B60A7D"/>
    <w:rsid w:val="00D2422E"/>
    <w:rsid w:val="00D249FB"/>
    <w:rsid w:val="00D90222"/>
    <w:rsid w:val="00E42AAC"/>
    <w:rsid w:val="00F3298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9173"/>
  <w15:chartTrackingRefBased/>
  <w15:docId w15:val="{0EC1728E-4F5E-455C-8659-BD3FE9E5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60A7D"/>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157438"/>
    <w:rPr>
      <w:color w:val="0563C1" w:themeColor="hyperlink"/>
      <w:u w:val="single"/>
    </w:rPr>
  </w:style>
  <w:style w:type="paragraph" w:styleId="Prrafodelista">
    <w:name w:val="List Paragraph"/>
    <w:basedOn w:val="Normal"/>
    <w:uiPriority w:val="34"/>
    <w:qFormat/>
    <w:rsid w:val="00B60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sriesgooperativo@sugef.fi.c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riesgo/BorradoresRG/Forms/Correspondencia%20Externa%20SUGEF/plantilla-SGF-RGL-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58E1A99EE4E03836818B549CD1FC3"/>
        <w:category>
          <w:name w:val="General"/>
          <w:gallery w:val="placeholder"/>
        </w:category>
        <w:types>
          <w:type w:val="bbPlcHdr"/>
        </w:types>
        <w:behaviors>
          <w:behavior w:val="content"/>
        </w:behaviors>
        <w:guid w:val="{C713E6BA-D73E-41AC-B341-F5F557730508}"/>
      </w:docPartPr>
      <w:docPartBody>
        <w:p w:rsidR="00846A06" w:rsidRDefault="004B38F2" w:rsidP="004B38F2">
          <w:pPr>
            <w:pStyle w:val="9D458E1A99EE4E03836818B549CD1FC3"/>
          </w:pPr>
          <w:r w:rsidRPr="001E0779">
            <w:rPr>
              <w:rStyle w:val="Textodelmarcadordeposicin"/>
            </w:rPr>
            <w:t>Haga clic aquí para escribir texto.</w:t>
          </w:r>
        </w:p>
      </w:docPartBody>
    </w:docPart>
    <w:docPart>
      <w:docPartPr>
        <w:name w:val="C5AE0905C37348E7826931C0555D60B4"/>
        <w:category>
          <w:name w:val="General"/>
          <w:gallery w:val="placeholder"/>
        </w:category>
        <w:types>
          <w:type w:val="bbPlcHdr"/>
        </w:types>
        <w:behaviors>
          <w:behavior w:val="content"/>
        </w:behaviors>
        <w:guid w:val="{B08CEF65-3784-42F4-81BC-DC0F15ADC391}"/>
      </w:docPartPr>
      <w:docPartBody>
        <w:p w:rsidR="00846A06" w:rsidRDefault="004B38F2" w:rsidP="004B38F2">
          <w:pPr>
            <w:pStyle w:val="C5AE0905C37348E7826931C0555D60B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Japanese">
    <w:altName w:val="Batang"/>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F2"/>
    <w:rsid w:val="004B38F2"/>
    <w:rsid w:val="00846A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38F2"/>
  </w:style>
  <w:style w:type="paragraph" w:customStyle="1" w:styleId="9D458E1A99EE4E03836818B549CD1FC3">
    <w:name w:val="9D458E1A99EE4E03836818B549CD1FC3"/>
    <w:rsid w:val="004B38F2"/>
  </w:style>
  <w:style w:type="paragraph" w:customStyle="1" w:styleId="C5AE0905C37348E7826931C0555D60B4">
    <w:name w:val="C5AE0905C37348E7826931C0555D60B4"/>
    <w:rsid w:val="004B3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4Pto8rD50Du7b+jtWT9JQE8ZqdmVjniAdc9OVR23lTU=</DigestValue>
    </Reference>
    <Reference Type="http://www.w3.org/2000/09/xmldsig#Object" URI="#idOfficeObject">
      <DigestMethod Algorithm="http://www.w3.org/2001/04/xmlenc#sha256"/>
      <DigestValue>GH8i/WTkXg+s1dsGAjJGxnMaFKUQDBfbiSA/pXzgg+w=</DigestValue>
    </Reference>
    <Reference Type="http://uri.etsi.org/01903#SignedProperties" URI="#idSignedProperties">
      <Transforms>
        <Transform Algorithm="http://www.w3.org/TR/2001/REC-xml-c14n-20010315"/>
      </Transforms>
      <DigestMethod Algorithm="http://www.w3.org/2001/04/xmlenc#sha256"/>
      <DigestValue>504C8kJ8RkPQ3QnBqZzp2KmbWY3IiErC0Jrf3KYRAWo=</DigestValue>
    </Reference>
  </SignedInfo>
  <SignatureValue>T2cGx6sjcY5YDm18UUfkLjtesf9ptydsFN5klZnn9EeZ/Sc/RzhxJBwS8A+qAMsJPFUkmKB6aFIb
6jK9aSJdHc5eaK0vTXVnWG2TIXOGDlJXgPOnNl3/zycyFR2iz69T3aLvGidxo8sxV3sufqgOaRwX
5T6wtzjNGZhDgGytCdJKybGvmX9eLa/YjHOT2+4+GRzRbGj84aqXTMwzQUwSViAAwo77the39nhi
9Tv5K+JBgnJliDlhAKBzRP2vXzcpjk2VPYT30Is3HeoMRzAUqjXJir2prdbWNmQYw1nBlUhh4SsH
oHESToVGMIb9uwy1cH5SIyim3o8ostjLQauyQg==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DZKuvccgDuZiYJ5KLI6jQDFXOfWxLUFhavYfuoElaCg=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Lz8vnjchCU4w7aBH1bGYvHXt4emAlMYW3PyZovhbfVA=</DigestValue>
      </Reference>
      <Reference URI="/word/document.xml?ContentType=application/vnd.openxmlformats-officedocument.wordprocessingml.document.main+xml">
        <DigestMethod Algorithm="http://www.w3.org/2001/04/xmlenc#sha256"/>
        <DigestValue>yMlkiwdiPFJwr3UWGSDpPbP3x/1a524vCD2E0XT3n4o=</DigestValue>
      </Reference>
      <Reference URI="/word/endnotes.xml?ContentType=application/vnd.openxmlformats-officedocument.wordprocessingml.endnotes+xml">
        <DigestMethod Algorithm="http://www.w3.org/2001/04/xmlenc#sha256"/>
        <DigestValue>obq0C5rSywaymQaQA/I4bdx1jYnsV9+mNyQBwlsTdrY=</DigestValue>
      </Reference>
      <Reference URI="/word/fontTable.xml?ContentType=application/vnd.openxmlformats-officedocument.wordprocessingml.fontTable+xml">
        <DigestMethod Algorithm="http://www.w3.org/2001/04/xmlenc#sha256"/>
        <DigestValue>LAW0Cbc6Pga3H9XTIxnf/BEIh2XT2mRaRWjKNufJNe8=</DigestValue>
      </Reference>
      <Reference URI="/word/footer1.xml?ContentType=application/vnd.openxmlformats-officedocument.wordprocessingml.footer+xml">
        <DigestMethod Algorithm="http://www.w3.org/2001/04/xmlenc#sha256"/>
        <DigestValue>yhDxvURbcm2iNmd6QoTwzjQZl2+Ov+/bC5D0xMDHDKY=</DigestValue>
      </Reference>
      <Reference URI="/word/footnotes.xml?ContentType=application/vnd.openxmlformats-officedocument.wordprocessingml.footnotes+xml">
        <DigestMethod Algorithm="http://www.w3.org/2001/04/xmlenc#sha256"/>
        <DigestValue>qsJC42ctdkD5FTIAIlstjfJ0u3zOIc2IOX++C/gNBkU=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hVK6/wwve3SXLzuDyk8FlaoPU5rVzPV5f95i7Z8PW4o=</DigestValue>
      </Reference>
      <Reference URI="/word/glossary/fontTable.xml?ContentType=application/vnd.openxmlformats-officedocument.wordprocessingml.fontTable+xml">
        <DigestMethod Algorithm="http://www.w3.org/2001/04/xmlenc#sha256"/>
        <DigestValue>LAW0Cbc6Pga3H9XTIxnf/BEIh2XT2mRaRWjKNufJNe8=</DigestValue>
      </Reference>
      <Reference URI="/word/glossary/settings.xml?ContentType=application/vnd.openxmlformats-officedocument.wordprocessingml.settings+xml">
        <DigestMethod Algorithm="http://www.w3.org/2001/04/xmlenc#sha256"/>
        <DigestValue>Jreqgbu8XlcxF79N2FyH68th227cpuSVN7azjTizRRE=</DigestValue>
      </Reference>
      <Reference URI="/word/glossary/styles.xml?ContentType=application/vnd.openxmlformats-officedocument.wordprocessingml.styles+xml">
        <DigestMethod Algorithm="http://www.w3.org/2001/04/xmlenc#sha256"/>
        <DigestValue>QXxCsKISkVsLi2xnS1bpmXQ2bhTcRXh/VdcU5SwfMV4=</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fIZqecQyq1bY35roPTX7DcnnqLV5/1F+3aC5yWccUDU=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8bkFroIwCoSLODJg76dVzhbK+Kawda2JmQBFn/NUSAg=</DigestValue>
      </Reference>
      <Reference URI="/word/settings.xml?ContentType=application/vnd.openxmlformats-officedocument.wordprocessingml.settings+xml">
        <DigestMethod Algorithm="http://www.w3.org/2001/04/xmlenc#sha256"/>
        <DigestValue>0Y13PI6H11Li5WnwHDgK9bS4Bx66quxFz2+Ou9rYA74=</DigestValue>
      </Reference>
      <Reference URI="/word/styles.xml?ContentType=application/vnd.openxmlformats-officedocument.wordprocessingml.styles+xml">
        <DigestMethod Algorithm="http://www.w3.org/2001/04/xmlenc#sha256"/>
        <DigestValue>qK3O1tN42QDZ8M/5E+rSEUK7eUbiThGxCEGln+WGzdg=</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2023-08-08T17:53:05Z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2023-08-08T17:53:05Z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oOJ9M4F33ugC68NKx29dE3qUdpeqxgHyaV3/sYckkwCBBWxPsQYDzIwMjMwODA4MTc1Mz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</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ehnWxUxyL2hSW2dPHUQGHPY2moI=</xd:ByKey>
                  </xd:ResponderID>
                  <xd:ProducedAt>2023-08-07T19:53:32Z</xd:ProducedAt>
                </xd:OCSPIdentifier>
                <xd:DigestAlgAndValue>
                  <DigestMethod Algorithm="http://www.w3.org/2001/04/xmlenc#sha256"/>
                  <DigestValue>+nSmna2mwtYqOVv6/urwz84e2FpqZKYRegIFh1+GcA0=</DigestValue>
                </xd:DigestAlgAndValue>
              </xd:OCSPRef>
            </xd:OCSPRefs>
            <xd:CRLRefs>
              <xd:CRLRef>
                <xd:DigestAlgAndValue>
                  <DigestMethod Algorithm="http://www.w3.org/2001/04/xmlenc#sha256"/>
                  <DigestValue>t2iJ5pkOncZ8hE69Z96ysljW8rjcuaF/Vcei/cOKn5Q=</DigestValue>
                </xd:DigestAlgAndValue>
                <xd:CRLIdentifier>
                  <xd:Issuer>CN=CA POLITICA PERSONA FISICA - COSTA RICA v2, OU=DCFD, O=MICITT, C=CR, SERIALNUMBER=CPJ-2-100-098311</xd:Issuer>
                  <xd:IssueTime>2023-06-22T19:11:11Z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</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</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4Y8qB1mjJcA4A5XDkS+6cVAbrbo2zVfh5ZkPOANPCh8CBBWxPsgYDzIwMjMwODA4MTc1Mz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Entidades supervisadas</OtraEntidadExterna>
    <Firmado xmlns="b875e23b-67d9-4b2e-bdec-edacbf90b326">true</Firmado>
    <Responsable xmlns="b875e23b-67d9-4b2e-bdec-edacbf90b326">
      <UserInfo>
        <DisplayName>ALVAREZ ESQUIVEL JOSE ANTONIO</DisplayName>
        <AccountId>417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i:0#.w|pdc-atlantida\alvarezej</DisplayName>
        <AccountId>417</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2023-08-09T16:48:20+00:00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2023-08-04T06:00:00+00:00</FechaDocumento>
    <RemitenteOriginal xmlns="b875e23b-67d9-4b2e-bdec-edacbf90b326">Área Riesgo Global</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nuevo campo XML Riesgo Operativo</Subject1>
    <_dlc_ExpireDateSaved xmlns="http://schemas.microsoft.com/sharepoint/v3" xsi:nil="true"/>
    <_dlc_ExpireDate xmlns="http://schemas.microsoft.com/sharepoint/v3" xsi:nil="true"/>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08" ma:contentTypeDescription="Crear nuevo documento." ma:contentTypeScope="" ma:versionID="15d1a490d190fa42fbf6c5ee8679cde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DC1FD71-CD8C-4C09-B41C-0585F1BE12F7}"/>
</file>

<file path=customXml/itemProps2.xml><?xml version="1.0" encoding="utf-8"?>
<ds:datastoreItem xmlns:ds="http://schemas.openxmlformats.org/officeDocument/2006/customXml" ds:itemID="{E6B44843-C52F-4DB6-8490-2ECB7F267F81}"/>
</file>

<file path=customXml/itemProps3.xml><?xml version="1.0" encoding="utf-8"?>
<ds:datastoreItem xmlns:ds="http://schemas.openxmlformats.org/officeDocument/2006/customXml" ds:itemID="{1A45D81F-2D94-400B-9634-A5F58022E760}"/>
</file>

<file path=customXml/itemProps4.xml><?xml version="1.0" encoding="utf-8"?>
<ds:datastoreItem xmlns:ds="http://schemas.openxmlformats.org/officeDocument/2006/customXml" ds:itemID="{A480C310-50BE-4438-9842-E7D1CF4EF358}"/>
</file>

<file path=customXml/itemProps5.xml><?xml version="1.0" encoding="utf-8"?>
<ds:datastoreItem xmlns:ds="http://schemas.openxmlformats.org/officeDocument/2006/customXml" ds:itemID="{9BE2FFC0-CFF7-4F0E-B0F2-54BA71B7796A}"/>
</file>

<file path=customXml/itemProps6.xml><?xml version="1.0" encoding="utf-8"?>
<ds:datastoreItem xmlns:ds="http://schemas.openxmlformats.org/officeDocument/2006/customXml" ds:itemID="{AD772364-D26E-445F-B45B-26782B0B41D3}"/>
</file>

<file path=docProps/app.xml><?xml version="1.0" encoding="utf-8"?>
<Properties xmlns="http://schemas.openxmlformats.org/officeDocument/2006/extended-properties" xmlns:vt="http://schemas.openxmlformats.org/officeDocument/2006/docPropsVTypes">
  <Template>plantilla-SGF-RGL-22</Template>
  <TotalTime>14</TotalTime>
  <Pages>3</Pages>
  <Words>770</Words>
  <Characters>4237</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ESQUIVEL JOSE ANTONIO</dc:creator>
  <cp:keywords/>
  <dc:description/>
  <cp:lastModifiedBy>VARGAS CALDERON PATRICIA MARIA</cp:lastModifiedBy>
  <cp:revision>4</cp:revision>
  <dcterms:created xsi:type="dcterms:W3CDTF">2023-08-04T22:26:00Z</dcterms:created>
  <dcterms:modified xsi:type="dcterms:W3CDTF">2023-08-07T19:37:00Z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3;#Media|3f3debfe-f918-4d91-ad3c-df12ce43024d</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42500</vt:r8>
  </property>
  <property fmtid="{D5CDD505-2E9C-101B-9397-08002B2CF9AE}" pid="12" name="MSIP_Label_b8b4be34-365a-4a68-b9fb-75c1b6874315_Enabled">
    <vt:lpwstr>true</vt:lpwstr>
  </property>
  <property fmtid="{D5CDD505-2E9C-101B-9397-08002B2CF9AE}" pid="13" name="MSIP_Label_b8b4be34-365a-4a68-b9fb-75c1b6874315_SetDate">
    <vt:lpwstr>2023-08-07T19:37:49Z</vt:lpwstr>
  </property>
  <property fmtid="{D5CDD505-2E9C-101B-9397-08002B2CF9AE}" pid="14" name="MSIP_Label_b8b4be34-365a-4a68-b9fb-75c1b6874315_Method">
    <vt:lpwstr>Standard</vt:lpwstr>
  </property>
  <property fmtid="{D5CDD505-2E9C-101B-9397-08002B2CF9AE}" pid="15" name="MSIP_Label_b8b4be34-365a-4a68-b9fb-75c1b6874315_Name">
    <vt:lpwstr>b8b4be34-365a-4a68-b9fb-75c1b6874315</vt:lpwstr>
  </property>
  <property fmtid="{D5CDD505-2E9C-101B-9397-08002B2CF9AE}" pid="16" name="MSIP_Label_b8b4be34-365a-4a68-b9fb-75c1b6874315_SiteId">
    <vt:lpwstr>618d0a45-25a6-4618-9f80-8f70a435ee52</vt:lpwstr>
  </property>
  <property fmtid="{D5CDD505-2E9C-101B-9397-08002B2CF9AE}" pid="17" name="MSIP_Label_b8b4be34-365a-4a68-b9fb-75c1b6874315_ActionId">
    <vt:lpwstr>91cd33ac-4c79-44e2-a86c-6f572d7043d6</vt:lpwstr>
  </property>
  <property fmtid="{D5CDD505-2E9C-101B-9397-08002B2CF9AE}" pid="18" name="MSIP_Label_b8b4be34-365a-4a68-b9fb-75c1b6874315_ContentBits">
    <vt:lpwstr>2</vt:lpwstr>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
  </property>
  <property fmtid="{D5CDD505-2E9C-101B-9397-08002B2CF9AE}" pid="23" name="WorkflowChangePath">
    <vt:lpwstr>f1fd9d7f-da86-405a-9476-87cbb240632e,4;769919c7-9da3-41ff-b395-8ac0bca7c92c,6;a85bfa03-8193-4272-b95d-eecf291da429,7;</vt:lpwstr>
  </property>
  <property fmtid="{D5CDD505-2E9C-101B-9397-08002B2CF9AE}" pid="24" name="ecm_ItemDeleteBlockHolders">
    <vt:lpwstr>ecm_InPlaceRecordLock</vt:lpwstr>
  </property>
  <property fmtid="{D5CDD505-2E9C-101B-9397-08002B2CF9AE}" pid="25" name="_vti_ItemDeclaredRecord">
    <vt:filetime>2023-08-09T16:48:32Z</vt:filetime>
  </property>
  <property fmtid="{D5CDD505-2E9C-101B-9397-08002B2CF9AE}" pid="26" name="_vti_ItemHoldRecordStatus">
    <vt:i4>273</vt:i4>
  </property>
  <property fmtid="{D5CDD505-2E9C-101B-9397-08002B2CF9AE}" pid="27" name="IconOverlay">
    <vt:lpwstr>|docx|lockoverlay.png</vt:lpwstr>
  </property>
  <property fmtid="{D5CDD505-2E9C-101B-9397-08002B2CF9AE}" pid="28" name="ecm_RecordRestrictions">
    <vt:lpwstr>BlockDelete, BlockEdit</vt:lpwstr>
  </property>
  <property fmtid="{D5CDD505-2E9C-101B-9397-08002B2CF9AE}" pid="29" name="ecm_ItemLockHolders">
    <vt:lpwstr>ecm_InPlaceRecordLock</vt:lpwstr>
  </property>
  <property fmtid="{D5CDD505-2E9C-101B-9397-08002B2CF9AE}" pid="30" name="_dlc_LastRun">
    <vt:lpwstr>08/26/2023 23:13:44</vt:lpwstr>
  </property>
  <property fmtid="{D5CDD505-2E9C-101B-9397-08002B2CF9AE}" pid="31" name="_dlc_ItemStageId">
    <vt:lpwstr>1</vt:lpwstr>
  </property>
</Properties>
</file>